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1927C4">
      <w:pPr>
        <w:ind w:firstLine="880"/>
        <w:jc w:val="center"/>
        <w:rPr>
          <w:rFonts w:hint="eastAsia" w:ascii="宋体" w:hAnsi="宋体"/>
          <w:sz w:val="44"/>
          <w:szCs w:val="44"/>
        </w:rPr>
      </w:pPr>
      <w:bookmarkStart w:id="0" w:name="_Toc536635794"/>
      <w:bookmarkStart w:id="1" w:name="_Toc536683232"/>
    </w:p>
    <w:p w14:paraId="2D5E62D7">
      <w:pPr>
        <w:ind w:firstLine="0" w:firstLineChars="0"/>
        <w:jc w:val="center"/>
        <w:rPr>
          <w:rFonts w:hint="eastAsia" w:ascii="楷体_GB2312" w:hAnsi="宋体" w:eastAsia="楷体_GB2312"/>
          <w:b/>
          <w:sz w:val="32"/>
          <w:szCs w:val="32"/>
        </w:rPr>
      </w:pPr>
      <w:r>
        <w:rPr>
          <w:rFonts w:hint="eastAsia" w:ascii="楷体_GB2312" w:hAnsi="宋体" w:eastAsia="楷体_GB2312"/>
          <w:b/>
          <w:sz w:val="32"/>
          <w:szCs w:val="32"/>
        </w:rPr>
        <w:t>三亚崖州湾科教城公共教学区（一期）</w:t>
      </w:r>
      <w:r>
        <w:rPr>
          <w:rFonts w:hint="eastAsia" w:ascii="楷体_GB2312" w:hAnsi="宋体" w:eastAsia="楷体_GB2312"/>
          <w:b/>
          <w:sz w:val="32"/>
          <w:szCs w:val="32"/>
          <w:lang w:val="en-US" w:eastAsia="zh-CN"/>
        </w:rPr>
        <w:t>EPC</w:t>
      </w:r>
      <w:r>
        <w:rPr>
          <w:rFonts w:hint="eastAsia" w:ascii="楷体_GB2312" w:hAnsi="宋体" w:eastAsia="楷体_GB2312"/>
          <w:b/>
          <w:sz w:val="32"/>
          <w:szCs w:val="32"/>
        </w:rPr>
        <w:t>项目</w:t>
      </w:r>
    </w:p>
    <w:p w14:paraId="33A5E27D">
      <w:pPr>
        <w:ind w:firstLine="0" w:firstLineChars="0"/>
        <w:jc w:val="center"/>
        <w:rPr>
          <w:rFonts w:hint="eastAsia" w:ascii="楷体_GB2312" w:hAnsi="华文中宋" w:eastAsia="楷体_GB2312"/>
          <w:b/>
          <w:sz w:val="52"/>
        </w:rPr>
      </w:pPr>
      <w:r>
        <w:rPr>
          <w:rFonts w:hint="eastAsia" w:ascii="楷体_GB2312" w:hAnsi="华文中宋" w:eastAsia="楷体_GB2312"/>
          <w:b/>
          <w:sz w:val="52"/>
          <w:lang w:val="en-US" w:eastAsia="zh-CN"/>
        </w:rPr>
        <w:t>绿色建筑实施方案</w:t>
      </w:r>
    </w:p>
    <w:p w14:paraId="31E54281">
      <w:pPr>
        <w:ind w:firstLine="0" w:firstLineChars="0"/>
        <w:jc w:val="center"/>
        <w:rPr>
          <w:rFonts w:hint="eastAsia" w:ascii="楷体_GB2312" w:hAnsi="华文中宋" w:eastAsia="楷体_GB2312"/>
          <w:b/>
          <w:sz w:val="32"/>
        </w:rPr>
      </w:pPr>
    </w:p>
    <w:p w14:paraId="7E0B8D9B">
      <w:pPr>
        <w:ind w:firstLine="0" w:firstLineChars="0"/>
        <w:jc w:val="center"/>
        <w:rPr>
          <w:rFonts w:cs="Times New Roman"/>
          <w:sz w:val="21"/>
        </w:rPr>
      </w:pPr>
    </w:p>
    <w:p w14:paraId="2D5CA1FF">
      <w:pPr>
        <w:bidi w:val="0"/>
        <w:rPr>
          <w:rFonts w:hint="eastAsia"/>
        </w:rPr>
      </w:pPr>
    </w:p>
    <w:p w14:paraId="36E01673">
      <w:pPr>
        <w:bidi w:val="0"/>
        <w:rPr>
          <w:rFonts w:hint="eastAsia"/>
        </w:rPr>
      </w:pPr>
    </w:p>
    <w:p w14:paraId="3ED8EB1B">
      <w:pPr>
        <w:bidi w:val="0"/>
        <w:rPr>
          <w:rFonts w:hint="eastAsia"/>
        </w:rPr>
      </w:pPr>
    </w:p>
    <w:p w14:paraId="1D94AEA7">
      <w:pPr>
        <w:bidi w:val="0"/>
        <w:rPr>
          <w:rFonts w:hint="eastAsia"/>
        </w:rPr>
      </w:pPr>
    </w:p>
    <w:p w14:paraId="28A57C8C">
      <w:pPr>
        <w:bidi w:val="0"/>
        <w:rPr>
          <w:rFonts w:hint="eastAsia"/>
        </w:rPr>
      </w:pPr>
    </w:p>
    <w:p w14:paraId="4E78556C">
      <w:pPr>
        <w:bidi w:val="0"/>
        <w:rPr>
          <w:rFonts w:hint="eastAsia"/>
        </w:rPr>
      </w:pPr>
    </w:p>
    <w:p w14:paraId="51C0B33D">
      <w:pPr>
        <w:bidi w:val="0"/>
        <w:rPr>
          <w:rFonts w:hint="eastAsia"/>
        </w:rPr>
      </w:pPr>
      <w:bookmarkStart w:id="101" w:name="_GoBack"/>
      <w:bookmarkEnd w:id="101"/>
    </w:p>
    <w:p w14:paraId="19CBE5F1">
      <w:pPr>
        <w:bidi w:val="0"/>
        <w:rPr>
          <w:rFonts w:hint="eastAsia"/>
        </w:rPr>
      </w:pPr>
    </w:p>
    <w:p w14:paraId="01855461">
      <w:pPr>
        <w:bidi w:val="0"/>
        <w:rPr>
          <w:rFonts w:hint="eastAsia"/>
        </w:rPr>
      </w:pPr>
    </w:p>
    <w:p w14:paraId="7B27B452">
      <w:pPr>
        <w:bidi w:val="0"/>
        <w:rPr>
          <w:rFonts w:hint="eastAsia"/>
        </w:rPr>
      </w:pPr>
    </w:p>
    <w:p w14:paraId="60C0C332">
      <w:pPr>
        <w:bidi w:val="0"/>
        <w:rPr>
          <w:rFonts w:hint="eastAsia"/>
        </w:rPr>
      </w:pPr>
    </w:p>
    <w:p w14:paraId="13ACA08E">
      <w:pPr>
        <w:bidi w:val="0"/>
        <w:rPr>
          <w:rFonts w:hint="eastAsia"/>
        </w:rPr>
      </w:pPr>
    </w:p>
    <w:p w14:paraId="19620A04">
      <w:pPr>
        <w:bidi w:val="0"/>
        <w:rPr>
          <w:rFonts w:hint="eastAsia"/>
        </w:rPr>
      </w:pPr>
    </w:p>
    <w:p w14:paraId="30C266F5">
      <w:pPr>
        <w:bidi w:val="0"/>
        <w:rPr>
          <w:rFonts w:hint="eastAsia"/>
        </w:rPr>
      </w:pPr>
    </w:p>
    <w:p w14:paraId="74FDBB84">
      <w:pPr>
        <w:ind w:firstLine="0" w:firstLineChars="0"/>
        <w:jc w:val="center"/>
        <w:rPr>
          <w:rFonts w:hint="eastAsia" w:ascii="楷体_GB2312" w:hAnsi="宋体" w:eastAsia="楷体_GB2312"/>
          <w:sz w:val="36"/>
        </w:rPr>
      </w:pPr>
    </w:p>
    <w:p w14:paraId="647842FA">
      <w:pPr>
        <w:ind w:firstLine="0" w:firstLineChars="0"/>
        <w:jc w:val="center"/>
        <w:rPr>
          <w:rFonts w:hint="eastAsia" w:ascii="楷体_GB2312" w:hAnsi="宋体" w:eastAsia="楷体_GB2312"/>
          <w:b/>
          <w:sz w:val="32"/>
          <w:szCs w:val="32"/>
        </w:rPr>
      </w:pPr>
      <w:r>
        <w:rPr>
          <w:rFonts w:hint="default" w:ascii="楷体_GB2312" w:hAnsi="宋体" w:eastAsia="楷体_GB2312"/>
          <w:b/>
          <w:sz w:val="32"/>
          <w:szCs w:val="32"/>
          <w:lang w:val="en-US"/>
        </w:rPr>
        <mc:AlternateContent>
          <mc:Choice Requires="wps">
            <w:drawing>
              <wp:anchor distT="0" distB="0" distL="114300" distR="114300" simplePos="0" relativeHeight="251659264" behindDoc="0" locked="0" layoutInCell="1" allowOverlap="1">
                <wp:simplePos x="0" y="0"/>
                <wp:positionH relativeFrom="column">
                  <wp:posOffset>1040765</wp:posOffset>
                </wp:positionH>
                <wp:positionV relativeFrom="paragraph">
                  <wp:posOffset>401955</wp:posOffset>
                </wp:positionV>
                <wp:extent cx="3463925" cy="0"/>
                <wp:effectExtent l="0" t="7620" r="3175" b="11430"/>
                <wp:wrapNone/>
                <wp:docPr id="52" name="直接箭头连接符 52"/>
                <wp:cNvGraphicFramePr/>
                <a:graphic xmlns:a="http://schemas.openxmlformats.org/drawingml/2006/main">
                  <a:graphicData uri="http://schemas.microsoft.com/office/word/2010/wordprocessingShape">
                    <wps:wsp>
                      <wps:cNvCnPr/>
                      <wps:spPr>
                        <a:xfrm>
                          <a:off x="0" y="0"/>
                          <a:ext cx="3463925" cy="0"/>
                        </a:xfrm>
                        <a:prstGeom prst="straightConnector1">
                          <a:avLst/>
                        </a:prstGeom>
                        <a:ln w="1587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81.95pt;margin-top:31.65pt;height:0pt;width:272.75pt;z-index:251659264;mso-width-relative:page;mso-height-relative:page;" filled="f" stroked="t" coordsize="21600,21600" o:gfxdata="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E0YMfWAAAACQEAAA8AAAAAAAAAAQAgAAAAIgAAAGRycy9k&#10;b3ducmV2LnhtbFBLAQIUABQAAAAIAIdO4kAMiGGUBAIAAP0DAAAOAAAAAAAAAAEAIAAAACUBAABk&#10;cnMvZTJvRG9jLnhtbFBLBQYAAAAABgAGAFkBAACbBQAAAAA=&#10;">
                <v:fill on="f" focussize="0,0"/>
                <v:stroke weight="1.25pt" color="#000000" joinstyle="round"/>
                <v:imagedata o:title=""/>
                <o:lock v:ext="edit" aspectratio="f"/>
              </v:shape>
            </w:pict>
          </mc:Fallback>
        </mc:AlternateContent>
      </w:r>
      <w:r>
        <w:rPr>
          <w:rFonts w:hint="eastAsia" w:ascii="楷体_GB2312" w:hAnsi="宋体" w:eastAsia="楷体_GB2312"/>
          <w:b/>
          <w:sz w:val="32"/>
          <w:szCs w:val="32"/>
          <w:lang w:val="en-US" w:eastAsia="zh-CN"/>
        </w:rPr>
        <w:t>Xxx</w:t>
      </w:r>
      <w:r>
        <w:rPr>
          <w:rFonts w:hint="eastAsia" w:ascii="楷体_GB2312" w:hAnsi="宋体" w:eastAsia="楷体_GB2312"/>
          <w:b/>
          <w:sz w:val="32"/>
          <w:szCs w:val="32"/>
        </w:rPr>
        <w:t>有限公司</w:t>
      </w:r>
    </w:p>
    <w:p w14:paraId="7130A07A">
      <w:pPr>
        <w:ind w:firstLine="0" w:firstLineChars="0"/>
        <w:jc w:val="center"/>
        <w:rPr>
          <w:rFonts w:hint="eastAsia" w:ascii="楷体_GB2312" w:hAnsi="宋体" w:eastAsia="楷体_GB2312"/>
          <w:b/>
          <w:sz w:val="32"/>
          <w:szCs w:val="32"/>
        </w:rPr>
      </w:pPr>
      <w:r>
        <w:rPr>
          <w:rFonts w:hint="eastAsia" w:ascii="楷体_GB2312" w:hAnsi="宋体" w:eastAsia="楷体_GB2312"/>
          <w:b/>
          <w:sz w:val="32"/>
          <w:szCs w:val="32"/>
        </w:rPr>
        <w:t>三亚崖州湾科教城公共教学区项目部</w:t>
      </w:r>
    </w:p>
    <w:p w14:paraId="09777C64">
      <w:pPr>
        <w:ind w:firstLine="0" w:firstLineChars="0"/>
        <w:jc w:val="center"/>
        <w:rPr>
          <w:rFonts w:hint="eastAsia" w:ascii="楷体_GB2312" w:hAnsi="宋体" w:eastAsia="楷体_GB2312"/>
          <w:b/>
          <w:sz w:val="32"/>
          <w:szCs w:val="32"/>
        </w:rPr>
      </w:pPr>
      <w:r>
        <w:rPr>
          <w:rFonts w:hint="eastAsia" w:ascii="楷体_GB2312" w:hAnsi="宋体" w:eastAsia="楷体_GB2312"/>
          <w:b/>
          <w:sz w:val="32"/>
          <w:szCs w:val="32"/>
          <w:lang w:val="en-US" w:eastAsia="zh-CN"/>
        </w:rPr>
        <w:t>Xx</w:t>
      </w:r>
      <w:r>
        <w:rPr>
          <w:rFonts w:hint="eastAsia" w:ascii="楷体_GB2312" w:hAnsi="宋体" w:eastAsia="楷体_GB2312"/>
          <w:b/>
          <w:sz w:val="32"/>
          <w:szCs w:val="32"/>
        </w:rPr>
        <w:t>年</w:t>
      </w:r>
      <w:r>
        <w:rPr>
          <w:rFonts w:hint="eastAsia" w:ascii="楷体_GB2312" w:hAnsi="宋体" w:eastAsia="楷体_GB2312"/>
          <w:b/>
          <w:sz w:val="32"/>
          <w:szCs w:val="32"/>
          <w:lang w:val="en-US" w:eastAsia="zh-CN"/>
        </w:rPr>
        <w:t>xx</w:t>
      </w:r>
      <w:r>
        <w:rPr>
          <w:rFonts w:hint="eastAsia" w:ascii="楷体_GB2312" w:hAnsi="宋体" w:eastAsia="楷体_GB2312"/>
          <w:b/>
          <w:sz w:val="32"/>
          <w:szCs w:val="32"/>
        </w:rPr>
        <w:t>月</w:t>
      </w:r>
      <w:bookmarkEnd w:id="0"/>
      <w:bookmarkEnd w:id="1"/>
    </w:p>
    <w:p w14:paraId="049ACDDB">
      <w:pPr>
        <w:rPr>
          <w:rFonts w:hint="eastAsia" w:ascii="楷体_GB2312" w:hAnsi="宋体" w:eastAsia="楷体_GB2312"/>
          <w:b/>
          <w:sz w:val="32"/>
          <w:szCs w:val="32"/>
        </w:rPr>
      </w:pPr>
      <w:r>
        <w:rPr>
          <w:rFonts w:hint="eastAsia" w:ascii="楷体_GB2312" w:hAnsi="宋体" w:eastAsia="楷体_GB2312"/>
          <w:b/>
          <w:sz w:val="32"/>
          <w:szCs w:val="32"/>
        </w:rPr>
        <w:br w:type="page"/>
      </w:r>
    </w:p>
    <w:p w14:paraId="459CD69F">
      <w:pPr>
        <w:ind w:firstLine="0" w:firstLineChars="0"/>
        <w:jc w:val="center"/>
        <w:rPr>
          <w:rFonts w:hint="eastAsia" w:ascii="楷体_GB2312" w:hAnsi="宋体" w:eastAsia="楷体_GB2312"/>
          <w:b/>
          <w:sz w:val="32"/>
          <w:szCs w:val="32"/>
        </w:rPr>
      </w:pPr>
    </w:p>
    <w:p w14:paraId="47DEA3DF">
      <w:pPr>
        <w:ind w:firstLine="0" w:firstLineChars="0"/>
        <w:jc w:val="center"/>
        <w:rPr>
          <w:rFonts w:hint="eastAsia" w:ascii="楷体_GB2312" w:hAnsi="宋体" w:eastAsia="楷体_GB2312"/>
          <w:b/>
          <w:sz w:val="32"/>
          <w:szCs w:val="32"/>
        </w:rPr>
        <w:sectPr>
          <w:headerReference r:id="rId7" w:type="first"/>
          <w:footerReference r:id="rId10" w:type="first"/>
          <w:headerReference r:id="rId5" w:type="default"/>
          <w:footerReference r:id="rId8" w:type="default"/>
          <w:headerReference r:id="rId6" w:type="even"/>
          <w:footerReference r:id="rId9" w:type="even"/>
          <w:pgSz w:w="11907" w:h="16840"/>
          <w:pgMar w:top="1440" w:right="1361" w:bottom="1440" w:left="1701" w:header="851" w:footer="992" w:gutter="0"/>
          <w:cols w:space="720" w:num="1"/>
          <w:docGrid w:type="linesAndChars" w:linePitch="312" w:charSpace="0"/>
        </w:sectPr>
      </w:pPr>
    </w:p>
    <w:p w14:paraId="1C5A3099">
      <w:pPr>
        <w:pStyle w:val="27"/>
      </w:pPr>
      <w:r>
        <w:t>目</w:t>
      </w:r>
      <w:r>
        <w:rPr>
          <w:rFonts w:hint="eastAsia"/>
        </w:rPr>
        <w:t xml:space="preserve"> </w:t>
      </w:r>
      <w:r>
        <w:t xml:space="preserve"> 录</w:t>
      </w:r>
    </w:p>
    <w:p w14:paraId="7DB14E18">
      <w:pPr>
        <w:pStyle w:val="27"/>
        <w:tabs>
          <w:tab w:val="right" w:leader="dot" w:pos="9070"/>
          <w:tab w:val="clear" w:pos="9060"/>
        </w:tabs>
      </w:pPr>
      <w:r>
        <w:fldChar w:fldCharType="begin"/>
      </w:r>
      <w:r>
        <w:instrText xml:space="preserve"> TOC \o "1-3" \h \z \u </w:instrText>
      </w:r>
      <w:r>
        <w:fldChar w:fldCharType="separate"/>
      </w:r>
      <w:r>
        <w:fldChar w:fldCharType="begin"/>
      </w:r>
      <w:r>
        <w:instrText xml:space="preserve"> HYPERLINK \l _Toc27953 </w:instrText>
      </w:r>
      <w:r>
        <w:fldChar w:fldCharType="separate"/>
      </w:r>
      <w:r>
        <w:rPr>
          <w:rFonts w:hint="default" w:ascii="Arial" w:hAnsi="Arial" w:eastAsia="宋体"/>
          <w:i w:val="0"/>
          <w:kern w:val="2"/>
        </w:rPr>
        <w:t xml:space="preserve">第1章 </w:t>
      </w:r>
      <w:r>
        <w:rPr>
          <w:rFonts w:hint="eastAsia"/>
        </w:rPr>
        <w:t>编制说明</w:t>
      </w:r>
      <w:r>
        <w:tab/>
      </w:r>
      <w:r>
        <w:fldChar w:fldCharType="begin"/>
      </w:r>
      <w:r>
        <w:instrText xml:space="preserve"> PAGEREF _Toc27953 \h </w:instrText>
      </w:r>
      <w:r>
        <w:fldChar w:fldCharType="separate"/>
      </w:r>
      <w:r>
        <w:t>1</w:t>
      </w:r>
      <w:r>
        <w:fldChar w:fldCharType="end"/>
      </w:r>
      <w:r>
        <w:fldChar w:fldCharType="end"/>
      </w:r>
    </w:p>
    <w:p w14:paraId="0F79995D">
      <w:pPr>
        <w:pStyle w:val="30"/>
        <w:tabs>
          <w:tab w:val="right" w:leader="dot" w:pos="9070"/>
          <w:tab w:val="clear" w:pos="9060"/>
        </w:tabs>
      </w:pPr>
      <w:r>
        <w:rPr>
          <w:rFonts w:eastAsia="黑体"/>
        </w:rPr>
        <w:fldChar w:fldCharType="begin"/>
      </w:r>
      <w:r>
        <w:rPr>
          <w:rFonts w:eastAsia="黑体"/>
        </w:rPr>
        <w:instrText xml:space="preserve"> HYPERLINK \l _Toc44 </w:instrText>
      </w:r>
      <w:r>
        <w:rPr>
          <w:rFonts w:eastAsia="黑体"/>
        </w:rPr>
        <w:fldChar w:fldCharType="separate"/>
      </w:r>
      <w:r>
        <w:rPr>
          <w:rFonts w:hint="default" w:ascii="宋体" w:hAnsi="宋体" w:eastAsia="宋体"/>
          <w:i w:val="0"/>
          <w:szCs w:val="24"/>
        </w:rPr>
        <w:t xml:space="preserve">1.1 </w:t>
      </w:r>
      <w:r>
        <w:rPr>
          <w:rFonts w:hint="eastAsia"/>
        </w:rPr>
        <w:t>编制说明</w:t>
      </w:r>
      <w:r>
        <w:tab/>
      </w:r>
      <w:r>
        <w:fldChar w:fldCharType="begin"/>
      </w:r>
      <w:r>
        <w:instrText xml:space="preserve"> PAGEREF _Toc44 \h </w:instrText>
      </w:r>
      <w:r>
        <w:fldChar w:fldCharType="separate"/>
      </w:r>
      <w:r>
        <w:t>1</w:t>
      </w:r>
      <w:r>
        <w:fldChar w:fldCharType="end"/>
      </w:r>
      <w:r>
        <w:rPr>
          <w:rFonts w:eastAsia="黑体"/>
        </w:rPr>
        <w:fldChar w:fldCharType="end"/>
      </w:r>
    </w:p>
    <w:p w14:paraId="0A11FFF9">
      <w:pPr>
        <w:pStyle w:val="30"/>
        <w:tabs>
          <w:tab w:val="right" w:leader="dot" w:pos="9070"/>
          <w:tab w:val="clear" w:pos="9060"/>
        </w:tabs>
      </w:pPr>
      <w:r>
        <w:rPr>
          <w:rFonts w:eastAsia="黑体"/>
        </w:rPr>
        <w:fldChar w:fldCharType="begin"/>
      </w:r>
      <w:r>
        <w:rPr>
          <w:rFonts w:eastAsia="黑体"/>
        </w:rPr>
        <w:instrText xml:space="preserve"> HYPERLINK \l _Toc2099 </w:instrText>
      </w:r>
      <w:r>
        <w:rPr>
          <w:rFonts w:eastAsia="黑体"/>
        </w:rPr>
        <w:fldChar w:fldCharType="separate"/>
      </w:r>
      <w:r>
        <w:rPr>
          <w:rFonts w:hint="default" w:ascii="宋体" w:hAnsi="宋体" w:eastAsia="宋体"/>
          <w:i w:val="0"/>
          <w:szCs w:val="24"/>
        </w:rPr>
        <w:t xml:space="preserve">1.2 </w:t>
      </w:r>
      <w:r>
        <w:rPr>
          <w:rFonts w:hint="eastAsia"/>
        </w:rPr>
        <w:t>编制依据</w:t>
      </w:r>
      <w:r>
        <w:tab/>
      </w:r>
      <w:r>
        <w:fldChar w:fldCharType="begin"/>
      </w:r>
      <w:r>
        <w:instrText xml:space="preserve"> PAGEREF _Toc2099 \h </w:instrText>
      </w:r>
      <w:r>
        <w:fldChar w:fldCharType="separate"/>
      </w:r>
      <w:r>
        <w:t>1</w:t>
      </w:r>
      <w:r>
        <w:fldChar w:fldCharType="end"/>
      </w:r>
      <w:r>
        <w:rPr>
          <w:rFonts w:eastAsia="黑体"/>
        </w:rPr>
        <w:fldChar w:fldCharType="end"/>
      </w:r>
    </w:p>
    <w:p w14:paraId="55819C3A">
      <w:pPr>
        <w:pStyle w:val="27"/>
        <w:tabs>
          <w:tab w:val="right" w:leader="dot" w:pos="9070"/>
          <w:tab w:val="clear" w:pos="9060"/>
        </w:tabs>
      </w:pPr>
      <w:r>
        <w:rPr>
          <w:rFonts w:eastAsia="黑体"/>
        </w:rPr>
        <w:fldChar w:fldCharType="begin"/>
      </w:r>
      <w:r>
        <w:rPr>
          <w:rFonts w:eastAsia="黑体"/>
        </w:rPr>
        <w:instrText xml:space="preserve"> HYPERLINK \l _Toc4946 </w:instrText>
      </w:r>
      <w:r>
        <w:rPr>
          <w:rFonts w:eastAsia="黑体"/>
        </w:rPr>
        <w:fldChar w:fldCharType="separate"/>
      </w:r>
      <w:r>
        <w:rPr>
          <w:rFonts w:hint="default" w:ascii="Arial" w:hAnsi="Arial" w:eastAsia="宋体"/>
          <w:i w:val="0"/>
          <w:kern w:val="2"/>
        </w:rPr>
        <w:t xml:space="preserve">第2章 </w:t>
      </w:r>
      <w:r>
        <w:rPr>
          <w:rFonts w:hint="eastAsia"/>
        </w:rPr>
        <w:t>工程概况</w:t>
      </w:r>
      <w:r>
        <w:tab/>
      </w:r>
      <w:r>
        <w:fldChar w:fldCharType="begin"/>
      </w:r>
      <w:r>
        <w:instrText xml:space="preserve"> PAGEREF _Toc4946 \h </w:instrText>
      </w:r>
      <w:r>
        <w:fldChar w:fldCharType="separate"/>
      </w:r>
      <w:r>
        <w:t>2</w:t>
      </w:r>
      <w:r>
        <w:fldChar w:fldCharType="end"/>
      </w:r>
      <w:r>
        <w:rPr>
          <w:rFonts w:eastAsia="黑体"/>
        </w:rPr>
        <w:fldChar w:fldCharType="end"/>
      </w:r>
    </w:p>
    <w:p w14:paraId="0B9BD3F0">
      <w:pPr>
        <w:pStyle w:val="30"/>
        <w:tabs>
          <w:tab w:val="right" w:leader="dot" w:pos="9070"/>
          <w:tab w:val="clear" w:pos="9060"/>
        </w:tabs>
      </w:pPr>
      <w:r>
        <w:rPr>
          <w:rFonts w:eastAsia="黑体"/>
        </w:rPr>
        <w:fldChar w:fldCharType="begin"/>
      </w:r>
      <w:r>
        <w:rPr>
          <w:rFonts w:eastAsia="黑体"/>
        </w:rPr>
        <w:instrText xml:space="preserve"> HYPERLINK \l _Toc18465 </w:instrText>
      </w:r>
      <w:r>
        <w:rPr>
          <w:rFonts w:eastAsia="黑体"/>
        </w:rPr>
        <w:fldChar w:fldCharType="separate"/>
      </w:r>
      <w:r>
        <w:rPr>
          <w:rFonts w:hint="default" w:ascii="宋体" w:hAnsi="宋体" w:eastAsia="宋体"/>
          <w:i w:val="0"/>
          <w:szCs w:val="24"/>
        </w:rPr>
        <w:t xml:space="preserve">2.1 </w:t>
      </w:r>
      <w:r>
        <w:rPr>
          <w:rFonts w:hint="eastAsia"/>
        </w:rPr>
        <w:t>工程建设概况</w:t>
      </w:r>
      <w:r>
        <w:tab/>
      </w:r>
      <w:r>
        <w:fldChar w:fldCharType="begin"/>
      </w:r>
      <w:r>
        <w:instrText xml:space="preserve"> PAGEREF _Toc18465 \h </w:instrText>
      </w:r>
      <w:r>
        <w:fldChar w:fldCharType="separate"/>
      </w:r>
      <w:r>
        <w:t>2</w:t>
      </w:r>
      <w:r>
        <w:fldChar w:fldCharType="end"/>
      </w:r>
      <w:r>
        <w:rPr>
          <w:rFonts w:eastAsia="黑体"/>
        </w:rPr>
        <w:fldChar w:fldCharType="end"/>
      </w:r>
    </w:p>
    <w:p w14:paraId="6205BB86">
      <w:pPr>
        <w:pStyle w:val="30"/>
        <w:tabs>
          <w:tab w:val="right" w:leader="dot" w:pos="9070"/>
          <w:tab w:val="clear" w:pos="9060"/>
        </w:tabs>
      </w:pPr>
      <w:r>
        <w:rPr>
          <w:rFonts w:eastAsia="黑体"/>
        </w:rPr>
        <w:fldChar w:fldCharType="begin"/>
      </w:r>
      <w:r>
        <w:rPr>
          <w:rFonts w:eastAsia="黑体"/>
        </w:rPr>
        <w:instrText xml:space="preserve"> HYPERLINK \l _Toc143 </w:instrText>
      </w:r>
      <w:r>
        <w:rPr>
          <w:rFonts w:eastAsia="黑体"/>
        </w:rPr>
        <w:fldChar w:fldCharType="separate"/>
      </w:r>
      <w:r>
        <w:rPr>
          <w:rFonts w:hint="default" w:ascii="宋体" w:hAnsi="宋体" w:eastAsia="宋体"/>
          <w:i w:val="0"/>
          <w:szCs w:val="24"/>
        </w:rPr>
        <w:t xml:space="preserve">2.2 </w:t>
      </w:r>
      <w:r>
        <w:rPr>
          <w:rFonts w:hint="eastAsia"/>
        </w:rPr>
        <w:t>绿色建筑概况</w:t>
      </w:r>
      <w:r>
        <w:tab/>
      </w:r>
      <w:r>
        <w:fldChar w:fldCharType="begin"/>
      </w:r>
      <w:r>
        <w:instrText xml:space="preserve"> PAGEREF _Toc143 \h </w:instrText>
      </w:r>
      <w:r>
        <w:fldChar w:fldCharType="separate"/>
      </w:r>
      <w:r>
        <w:t>2</w:t>
      </w:r>
      <w:r>
        <w:fldChar w:fldCharType="end"/>
      </w:r>
      <w:r>
        <w:rPr>
          <w:rFonts w:eastAsia="黑体"/>
        </w:rPr>
        <w:fldChar w:fldCharType="end"/>
      </w:r>
    </w:p>
    <w:p w14:paraId="04251EB9">
      <w:pPr>
        <w:pStyle w:val="30"/>
        <w:tabs>
          <w:tab w:val="right" w:leader="dot" w:pos="9070"/>
          <w:tab w:val="clear" w:pos="9060"/>
        </w:tabs>
      </w:pPr>
      <w:r>
        <w:rPr>
          <w:rFonts w:eastAsia="黑体"/>
        </w:rPr>
        <w:fldChar w:fldCharType="begin"/>
      </w:r>
      <w:r>
        <w:rPr>
          <w:rFonts w:eastAsia="黑体"/>
        </w:rPr>
        <w:instrText xml:space="preserve"> HYPERLINK \l _Toc31780 </w:instrText>
      </w:r>
      <w:r>
        <w:rPr>
          <w:rFonts w:eastAsia="黑体"/>
        </w:rPr>
        <w:fldChar w:fldCharType="separate"/>
      </w:r>
      <w:r>
        <w:rPr>
          <w:rFonts w:hint="default" w:ascii="宋体" w:hAnsi="宋体" w:eastAsia="宋体"/>
          <w:i w:val="0"/>
          <w:szCs w:val="24"/>
        </w:rPr>
        <w:t xml:space="preserve">2.3 </w:t>
      </w:r>
      <w:r>
        <w:rPr>
          <w:rFonts w:hint="eastAsia"/>
        </w:rPr>
        <w:t>绿色施工概况</w:t>
      </w:r>
      <w:r>
        <w:tab/>
      </w:r>
      <w:r>
        <w:fldChar w:fldCharType="begin"/>
      </w:r>
      <w:r>
        <w:instrText xml:space="preserve"> PAGEREF _Toc31780 \h </w:instrText>
      </w:r>
      <w:r>
        <w:fldChar w:fldCharType="separate"/>
      </w:r>
      <w:r>
        <w:t>3</w:t>
      </w:r>
      <w:r>
        <w:fldChar w:fldCharType="end"/>
      </w:r>
      <w:r>
        <w:rPr>
          <w:rFonts w:eastAsia="黑体"/>
        </w:rPr>
        <w:fldChar w:fldCharType="end"/>
      </w:r>
    </w:p>
    <w:p w14:paraId="4F8A531F">
      <w:pPr>
        <w:pStyle w:val="27"/>
        <w:tabs>
          <w:tab w:val="right" w:leader="dot" w:pos="9070"/>
          <w:tab w:val="clear" w:pos="9060"/>
        </w:tabs>
      </w:pPr>
      <w:r>
        <w:rPr>
          <w:rFonts w:eastAsia="黑体"/>
        </w:rPr>
        <w:fldChar w:fldCharType="begin"/>
      </w:r>
      <w:r>
        <w:rPr>
          <w:rFonts w:eastAsia="黑体"/>
        </w:rPr>
        <w:instrText xml:space="preserve"> HYPERLINK \l _Toc24189 </w:instrText>
      </w:r>
      <w:r>
        <w:rPr>
          <w:rFonts w:eastAsia="黑体"/>
        </w:rPr>
        <w:fldChar w:fldCharType="separate"/>
      </w:r>
      <w:r>
        <w:rPr>
          <w:rFonts w:hint="default" w:ascii="Arial" w:hAnsi="Arial" w:eastAsia="宋体"/>
          <w:i w:val="0"/>
          <w:kern w:val="2"/>
        </w:rPr>
        <w:t xml:space="preserve">第3章 </w:t>
      </w:r>
      <w:r>
        <w:rPr>
          <w:rFonts w:hint="eastAsia"/>
        </w:rPr>
        <w:t>绿色施工管理</w:t>
      </w:r>
      <w:r>
        <w:tab/>
      </w:r>
      <w:r>
        <w:fldChar w:fldCharType="begin"/>
      </w:r>
      <w:r>
        <w:instrText xml:space="preserve"> PAGEREF _Toc24189 \h </w:instrText>
      </w:r>
      <w:r>
        <w:fldChar w:fldCharType="separate"/>
      </w:r>
      <w:r>
        <w:t>4</w:t>
      </w:r>
      <w:r>
        <w:fldChar w:fldCharType="end"/>
      </w:r>
      <w:r>
        <w:rPr>
          <w:rFonts w:eastAsia="黑体"/>
        </w:rPr>
        <w:fldChar w:fldCharType="end"/>
      </w:r>
    </w:p>
    <w:p w14:paraId="1850F931">
      <w:pPr>
        <w:pStyle w:val="30"/>
        <w:tabs>
          <w:tab w:val="right" w:leader="dot" w:pos="9070"/>
          <w:tab w:val="clear" w:pos="9060"/>
        </w:tabs>
      </w:pPr>
      <w:r>
        <w:rPr>
          <w:rFonts w:eastAsia="黑体"/>
        </w:rPr>
        <w:fldChar w:fldCharType="begin"/>
      </w:r>
      <w:r>
        <w:rPr>
          <w:rFonts w:eastAsia="黑体"/>
        </w:rPr>
        <w:instrText xml:space="preserve"> HYPERLINK \l _Toc11544 </w:instrText>
      </w:r>
      <w:r>
        <w:rPr>
          <w:rFonts w:eastAsia="黑体"/>
        </w:rPr>
        <w:fldChar w:fldCharType="separate"/>
      </w:r>
      <w:r>
        <w:rPr>
          <w:rFonts w:hint="default" w:ascii="宋体" w:hAnsi="宋体" w:eastAsia="宋体"/>
          <w:i w:val="0"/>
          <w:szCs w:val="24"/>
        </w:rPr>
        <w:t xml:space="preserve">3.1 </w:t>
      </w:r>
      <w:r>
        <w:rPr>
          <w:rFonts w:hint="eastAsia"/>
        </w:rPr>
        <w:t>绿色施工总体框架</w:t>
      </w:r>
      <w:r>
        <w:tab/>
      </w:r>
      <w:r>
        <w:fldChar w:fldCharType="begin"/>
      </w:r>
      <w:r>
        <w:instrText xml:space="preserve"> PAGEREF _Toc11544 \h </w:instrText>
      </w:r>
      <w:r>
        <w:fldChar w:fldCharType="separate"/>
      </w:r>
      <w:r>
        <w:t>4</w:t>
      </w:r>
      <w:r>
        <w:fldChar w:fldCharType="end"/>
      </w:r>
      <w:r>
        <w:rPr>
          <w:rFonts w:eastAsia="黑体"/>
        </w:rPr>
        <w:fldChar w:fldCharType="end"/>
      </w:r>
    </w:p>
    <w:p w14:paraId="1093297F">
      <w:pPr>
        <w:pStyle w:val="20"/>
        <w:tabs>
          <w:tab w:val="right" w:leader="dot" w:pos="9070"/>
          <w:tab w:val="clear" w:pos="9060"/>
        </w:tabs>
      </w:pPr>
      <w:r>
        <w:rPr>
          <w:rFonts w:eastAsia="黑体"/>
        </w:rPr>
        <w:fldChar w:fldCharType="begin"/>
      </w:r>
      <w:r>
        <w:rPr>
          <w:rFonts w:eastAsia="黑体"/>
        </w:rPr>
        <w:instrText xml:space="preserve"> HYPERLINK \l _Toc16772 </w:instrText>
      </w:r>
      <w:r>
        <w:rPr>
          <w:rFonts w:eastAsia="黑体"/>
        </w:rPr>
        <w:fldChar w:fldCharType="separate"/>
      </w:r>
      <w:r>
        <w:rPr>
          <w:rFonts w:ascii="宋体" w:hAnsi="宋体" w:eastAsia="宋体"/>
          <w:bCs w:val="0"/>
        </w:rPr>
        <w:t xml:space="preserve">3.1.2 </w:t>
      </w:r>
      <w:r>
        <w:rPr>
          <w:rFonts w:hint="eastAsia"/>
        </w:rPr>
        <w:t>组织管理</w:t>
      </w:r>
      <w:r>
        <w:tab/>
      </w:r>
      <w:r>
        <w:fldChar w:fldCharType="begin"/>
      </w:r>
      <w:r>
        <w:instrText xml:space="preserve"> PAGEREF _Toc16772 \h </w:instrText>
      </w:r>
      <w:r>
        <w:fldChar w:fldCharType="separate"/>
      </w:r>
      <w:r>
        <w:t>4</w:t>
      </w:r>
      <w:r>
        <w:fldChar w:fldCharType="end"/>
      </w:r>
      <w:r>
        <w:rPr>
          <w:rFonts w:eastAsia="黑体"/>
        </w:rPr>
        <w:fldChar w:fldCharType="end"/>
      </w:r>
    </w:p>
    <w:p w14:paraId="4B7D8CA5">
      <w:pPr>
        <w:pStyle w:val="20"/>
        <w:tabs>
          <w:tab w:val="right" w:leader="dot" w:pos="9070"/>
          <w:tab w:val="clear" w:pos="9060"/>
        </w:tabs>
      </w:pPr>
      <w:r>
        <w:rPr>
          <w:rFonts w:eastAsia="黑体"/>
        </w:rPr>
        <w:fldChar w:fldCharType="begin"/>
      </w:r>
      <w:r>
        <w:rPr>
          <w:rFonts w:eastAsia="黑体"/>
        </w:rPr>
        <w:instrText xml:space="preserve"> HYPERLINK \l _Toc8187 </w:instrText>
      </w:r>
      <w:r>
        <w:rPr>
          <w:rFonts w:eastAsia="黑体"/>
        </w:rPr>
        <w:fldChar w:fldCharType="separate"/>
      </w:r>
      <w:r>
        <w:rPr>
          <w:rFonts w:ascii="宋体" w:hAnsi="宋体" w:eastAsia="宋体"/>
          <w:bCs w:val="0"/>
        </w:rPr>
        <w:t xml:space="preserve">3.1.3 </w:t>
      </w:r>
      <w:r>
        <w:rPr>
          <w:rFonts w:hint="eastAsia"/>
        </w:rPr>
        <w:t>规划管理</w:t>
      </w:r>
      <w:r>
        <w:tab/>
      </w:r>
      <w:r>
        <w:fldChar w:fldCharType="begin"/>
      </w:r>
      <w:r>
        <w:instrText xml:space="preserve"> PAGEREF _Toc8187 \h </w:instrText>
      </w:r>
      <w:r>
        <w:fldChar w:fldCharType="separate"/>
      </w:r>
      <w:r>
        <w:t>6</w:t>
      </w:r>
      <w:r>
        <w:fldChar w:fldCharType="end"/>
      </w:r>
      <w:r>
        <w:rPr>
          <w:rFonts w:eastAsia="黑体"/>
        </w:rPr>
        <w:fldChar w:fldCharType="end"/>
      </w:r>
    </w:p>
    <w:p w14:paraId="75239AE8">
      <w:pPr>
        <w:pStyle w:val="20"/>
        <w:tabs>
          <w:tab w:val="right" w:leader="dot" w:pos="9070"/>
          <w:tab w:val="clear" w:pos="9060"/>
        </w:tabs>
      </w:pPr>
      <w:r>
        <w:rPr>
          <w:rFonts w:eastAsia="黑体"/>
        </w:rPr>
        <w:fldChar w:fldCharType="begin"/>
      </w:r>
      <w:r>
        <w:rPr>
          <w:rFonts w:eastAsia="黑体"/>
        </w:rPr>
        <w:instrText xml:space="preserve"> HYPERLINK \l _Toc7189 </w:instrText>
      </w:r>
      <w:r>
        <w:rPr>
          <w:rFonts w:eastAsia="黑体"/>
        </w:rPr>
        <w:fldChar w:fldCharType="separate"/>
      </w:r>
      <w:r>
        <w:rPr>
          <w:rFonts w:ascii="宋体" w:hAnsi="宋体" w:eastAsia="宋体"/>
          <w:bCs w:val="0"/>
        </w:rPr>
        <w:t xml:space="preserve">3.1.4 </w:t>
      </w:r>
      <w:r>
        <w:rPr>
          <w:rFonts w:hint="eastAsia"/>
        </w:rPr>
        <w:t>实施管理</w:t>
      </w:r>
      <w:r>
        <w:tab/>
      </w:r>
      <w:r>
        <w:fldChar w:fldCharType="begin"/>
      </w:r>
      <w:r>
        <w:instrText xml:space="preserve"> PAGEREF _Toc7189 \h </w:instrText>
      </w:r>
      <w:r>
        <w:fldChar w:fldCharType="separate"/>
      </w:r>
      <w:r>
        <w:t>7</w:t>
      </w:r>
      <w:r>
        <w:fldChar w:fldCharType="end"/>
      </w:r>
      <w:r>
        <w:rPr>
          <w:rFonts w:eastAsia="黑体"/>
        </w:rPr>
        <w:fldChar w:fldCharType="end"/>
      </w:r>
    </w:p>
    <w:p w14:paraId="66E9B777">
      <w:pPr>
        <w:pStyle w:val="20"/>
        <w:tabs>
          <w:tab w:val="right" w:leader="dot" w:pos="9070"/>
          <w:tab w:val="clear" w:pos="9060"/>
        </w:tabs>
      </w:pPr>
      <w:r>
        <w:rPr>
          <w:rFonts w:eastAsia="黑体"/>
        </w:rPr>
        <w:fldChar w:fldCharType="begin"/>
      </w:r>
      <w:r>
        <w:rPr>
          <w:rFonts w:eastAsia="黑体"/>
        </w:rPr>
        <w:instrText xml:space="preserve"> HYPERLINK \l _Toc24889 </w:instrText>
      </w:r>
      <w:r>
        <w:rPr>
          <w:rFonts w:eastAsia="黑体"/>
        </w:rPr>
        <w:fldChar w:fldCharType="separate"/>
      </w:r>
      <w:r>
        <w:rPr>
          <w:rFonts w:ascii="宋体" w:hAnsi="宋体" w:eastAsia="宋体"/>
          <w:bCs w:val="0"/>
        </w:rPr>
        <w:t xml:space="preserve">3.1.5 </w:t>
      </w:r>
      <w:r>
        <w:rPr>
          <w:rFonts w:hint="eastAsia"/>
        </w:rPr>
        <w:t>评价管理</w:t>
      </w:r>
      <w:r>
        <w:tab/>
      </w:r>
      <w:r>
        <w:fldChar w:fldCharType="begin"/>
      </w:r>
      <w:r>
        <w:instrText xml:space="preserve"> PAGEREF _Toc24889 \h </w:instrText>
      </w:r>
      <w:r>
        <w:fldChar w:fldCharType="separate"/>
      </w:r>
      <w:r>
        <w:t>8</w:t>
      </w:r>
      <w:r>
        <w:fldChar w:fldCharType="end"/>
      </w:r>
      <w:r>
        <w:rPr>
          <w:rFonts w:eastAsia="黑体"/>
        </w:rPr>
        <w:fldChar w:fldCharType="end"/>
      </w:r>
    </w:p>
    <w:p w14:paraId="14448DAD">
      <w:pPr>
        <w:pStyle w:val="20"/>
        <w:tabs>
          <w:tab w:val="right" w:leader="dot" w:pos="9070"/>
          <w:tab w:val="clear" w:pos="9060"/>
        </w:tabs>
      </w:pPr>
      <w:r>
        <w:rPr>
          <w:rFonts w:eastAsia="黑体"/>
        </w:rPr>
        <w:fldChar w:fldCharType="begin"/>
      </w:r>
      <w:r>
        <w:rPr>
          <w:rFonts w:eastAsia="黑体"/>
        </w:rPr>
        <w:instrText xml:space="preserve"> HYPERLINK \l _Toc9639 </w:instrText>
      </w:r>
      <w:r>
        <w:rPr>
          <w:rFonts w:eastAsia="黑体"/>
        </w:rPr>
        <w:fldChar w:fldCharType="separate"/>
      </w:r>
      <w:r>
        <w:rPr>
          <w:rFonts w:ascii="宋体" w:hAnsi="宋体" w:eastAsia="宋体"/>
          <w:bCs w:val="0"/>
        </w:rPr>
        <w:t xml:space="preserve">3.1.6 </w:t>
      </w:r>
      <w:r>
        <w:rPr>
          <w:rFonts w:hint="eastAsia"/>
        </w:rPr>
        <w:t>人员安全与健康管理</w:t>
      </w:r>
      <w:r>
        <w:tab/>
      </w:r>
      <w:r>
        <w:fldChar w:fldCharType="begin"/>
      </w:r>
      <w:r>
        <w:instrText xml:space="preserve"> PAGEREF _Toc9639 \h </w:instrText>
      </w:r>
      <w:r>
        <w:fldChar w:fldCharType="separate"/>
      </w:r>
      <w:r>
        <w:t>8</w:t>
      </w:r>
      <w:r>
        <w:fldChar w:fldCharType="end"/>
      </w:r>
      <w:r>
        <w:rPr>
          <w:rFonts w:eastAsia="黑体"/>
        </w:rPr>
        <w:fldChar w:fldCharType="end"/>
      </w:r>
    </w:p>
    <w:p w14:paraId="5714BA1A">
      <w:pPr>
        <w:pStyle w:val="30"/>
        <w:tabs>
          <w:tab w:val="right" w:leader="dot" w:pos="9070"/>
          <w:tab w:val="clear" w:pos="9060"/>
        </w:tabs>
      </w:pPr>
      <w:r>
        <w:rPr>
          <w:rFonts w:eastAsia="黑体"/>
        </w:rPr>
        <w:fldChar w:fldCharType="begin"/>
      </w:r>
      <w:r>
        <w:rPr>
          <w:rFonts w:eastAsia="黑体"/>
        </w:rPr>
        <w:instrText xml:space="preserve"> HYPERLINK \l _Toc7232 </w:instrText>
      </w:r>
      <w:r>
        <w:rPr>
          <w:rFonts w:eastAsia="黑体"/>
        </w:rPr>
        <w:fldChar w:fldCharType="separate"/>
      </w:r>
      <w:r>
        <w:rPr>
          <w:rFonts w:hint="default" w:ascii="宋体" w:hAnsi="宋体" w:eastAsia="宋体" w:cs="Times New Roman"/>
          <w:bCs/>
          <w:i w:val="0"/>
          <w:szCs w:val="24"/>
          <w:lang w:val="en-US" w:eastAsia="zh-CN"/>
        </w:rPr>
        <w:t xml:space="preserve">3.2 </w:t>
      </w:r>
      <w:r>
        <w:rPr>
          <w:rFonts w:hint="eastAsia" w:ascii="Arial" w:hAnsi="Arial" w:eastAsia="宋体" w:cs="Times New Roman"/>
          <w:bCs/>
          <w:lang w:val="en-US" w:eastAsia="zh-CN"/>
        </w:rPr>
        <w:t>绿色施工管理制度</w:t>
      </w:r>
      <w:r>
        <w:tab/>
      </w:r>
      <w:r>
        <w:fldChar w:fldCharType="begin"/>
      </w:r>
      <w:r>
        <w:instrText xml:space="preserve"> PAGEREF _Toc7232 \h </w:instrText>
      </w:r>
      <w:r>
        <w:fldChar w:fldCharType="separate"/>
      </w:r>
      <w:r>
        <w:t>9</w:t>
      </w:r>
      <w:r>
        <w:fldChar w:fldCharType="end"/>
      </w:r>
      <w:r>
        <w:rPr>
          <w:rFonts w:eastAsia="黑体"/>
        </w:rPr>
        <w:fldChar w:fldCharType="end"/>
      </w:r>
    </w:p>
    <w:p w14:paraId="3FD56251">
      <w:pPr>
        <w:pStyle w:val="20"/>
        <w:tabs>
          <w:tab w:val="right" w:leader="dot" w:pos="9070"/>
          <w:tab w:val="clear" w:pos="9060"/>
        </w:tabs>
      </w:pPr>
      <w:r>
        <w:rPr>
          <w:rFonts w:eastAsia="黑体"/>
        </w:rPr>
        <w:fldChar w:fldCharType="begin"/>
      </w:r>
      <w:r>
        <w:rPr>
          <w:rFonts w:eastAsia="黑体"/>
        </w:rPr>
        <w:instrText xml:space="preserve"> HYPERLINK \l _Toc11894 </w:instrText>
      </w:r>
      <w:r>
        <w:rPr>
          <w:rFonts w:eastAsia="黑体"/>
        </w:rPr>
        <w:fldChar w:fldCharType="separate"/>
      </w:r>
      <w:r>
        <w:rPr>
          <w:rFonts w:ascii="宋体" w:hAnsi="宋体" w:eastAsia="宋体"/>
          <w:bCs w:val="0"/>
        </w:rPr>
        <w:t xml:space="preserve">3.2.1 </w:t>
      </w:r>
      <w:r>
        <w:rPr>
          <w:rFonts w:hint="eastAsia" w:ascii="宋体" w:hAnsi="宋体"/>
          <w:bCs w:val="0"/>
        </w:rPr>
        <w:t>绿色施工教育制度</w:t>
      </w:r>
      <w:r>
        <w:tab/>
      </w:r>
      <w:r>
        <w:fldChar w:fldCharType="begin"/>
      </w:r>
      <w:r>
        <w:instrText xml:space="preserve"> PAGEREF _Toc11894 \h </w:instrText>
      </w:r>
      <w:r>
        <w:fldChar w:fldCharType="separate"/>
      </w:r>
      <w:r>
        <w:t>9</w:t>
      </w:r>
      <w:r>
        <w:fldChar w:fldCharType="end"/>
      </w:r>
      <w:r>
        <w:rPr>
          <w:rFonts w:eastAsia="黑体"/>
        </w:rPr>
        <w:fldChar w:fldCharType="end"/>
      </w:r>
    </w:p>
    <w:p w14:paraId="7ACC23B5">
      <w:pPr>
        <w:pStyle w:val="20"/>
        <w:tabs>
          <w:tab w:val="right" w:leader="dot" w:pos="9070"/>
          <w:tab w:val="clear" w:pos="9060"/>
        </w:tabs>
      </w:pPr>
      <w:r>
        <w:rPr>
          <w:rFonts w:eastAsia="黑体"/>
        </w:rPr>
        <w:fldChar w:fldCharType="begin"/>
      </w:r>
      <w:r>
        <w:rPr>
          <w:rFonts w:eastAsia="黑体"/>
        </w:rPr>
        <w:instrText xml:space="preserve"> HYPERLINK \l _Toc4286 </w:instrText>
      </w:r>
      <w:r>
        <w:rPr>
          <w:rFonts w:eastAsia="黑体"/>
        </w:rPr>
        <w:fldChar w:fldCharType="separate"/>
      </w:r>
      <w:r>
        <w:rPr>
          <w:rFonts w:hint="default" w:ascii="宋体" w:hAnsi="宋体" w:eastAsia="宋体"/>
          <w:bCs w:val="0"/>
          <w:lang w:val="en-US" w:eastAsia="zh-CN"/>
        </w:rPr>
        <w:t xml:space="preserve">3.2.2 </w:t>
      </w:r>
      <w:r>
        <w:rPr>
          <w:rFonts w:hint="default" w:eastAsia="宋体"/>
          <w:lang w:val="en-US" w:eastAsia="zh-CN"/>
        </w:rPr>
        <w:t>材料加工及材料堆场管理制度</w:t>
      </w:r>
      <w:r>
        <w:tab/>
      </w:r>
      <w:r>
        <w:fldChar w:fldCharType="begin"/>
      </w:r>
      <w:r>
        <w:instrText xml:space="preserve"> PAGEREF _Toc4286 \h </w:instrText>
      </w:r>
      <w:r>
        <w:fldChar w:fldCharType="separate"/>
      </w:r>
      <w:r>
        <w:t>9</w:t>
      </w:r>
      <w:r>
        <w:fldChar w:fldCharType="end"/>
      </w:r>
      <w:r>
        <w:rPr>
          <w:rFonts w:eastAsia="黑体"/>
        </w:rPr>
        <w:fldChar w:fldCharType="end"/>
      </w:r>
    </w:p>
    <w:p w14:paraId="34079EFA">
      <w:pPr>
        <w:pStyle w:val="20"/>
        <w:tabs>
          <w:tab w:val="right" w:leader="dot" w:pos="9070"/>
          <w:tab w:val="clear" w:pos="9060"/>
        </w:tabs>
      </w:pPr>
      <w:r>
        <w:rPr>
          <w:rFonts w:eastAsia="黑体"/>
        </w:rPr>
        <w:fldChar w:fldCharType="begin"/>
      </w:r>
      <w:r>
        <w:rPr>
          <w:rFonts w:eastAsia="黑体"/>
        </w:rPr>
        <w:instrText xml:space="preserve"> HYPERLINK \l _Toc28250 </w:instrText>
      </w:r>
      <w:r>
        <w:rPr>
          <w:rFonts w:eastAsia="黑体"/>
        </w:rPr>
        <w:fldChar w:fldCharType="separate"/>
      </w:r>
      <w:r>
        <w:rPr>
          <w:rFonts w:hint="default" w:ascii="宋体" w:hAnsi="宋体" w:eastAsia="宋体"/>
          <w:bCs w:val="0"/>
          <w:lang w:val="en-US" w:eastAsia="zh-CN"/>
        </w:rPr>
        <w:t xml:space="preserve">3.2.3 </w:t>
      </w:r>
      <w:r>
        <w:rPr>
          <w:rFonts w:hint="default" w:eastAsia="宋体"/>
          <w:lang w:val="en-US" w:eastAsia="zh-CN"/>
        </w:rPr>
        <w:t>清洁施工现场及垃圾处理管理制度</w:t>
      </w:r>
      <w:r>
        <w:tab/>
      </w:r>
      <w:r>
        <w:fldChar w:fldCharType="begin"/>
      </w:r>
      <w:r>
        <w:instrText xml:space="preserve"> PAGEREF _Toc28250 \h </w:instrText>
      </w:r>
      <w:r>
        <w:fldChar w:fldCharType="separate"/>
      </w:r>
      <w:r>
        <w:t>10</w:t>
      </w:r>
      <w:r>
        <w:fldChar w:fldCharType="end"/>
      </w:r>
      <w:r>
        <w:rPr>
          <w:rFonts w:eastAsia="黑体"/>
        </w:rPr>
        <w:fldChar w:fldCharType="end"/>
      </w:r>
    </w:p>
    <w:p w14:paraId="72A9A6B0">
      <w:pPr>
        <w:pStyle w:val="20"/>
        <w:tabs>
          <w:tab w:val="right" w:leader="dot" w:pos="9070"/>
          <w:tab w:val="clear" w:pos="9060"/>
        </w:tabs>
      </w:pPr>
      <w:r>
        <w:rPr>
          <w:rFonts w:eastAsia="黑体"/>
        </w:rPr>
        <w:fldChar w:fldCharType="begin"/>
      </w:r>
      <w:r>
        <w:rPr>
          <w:rFonts w:eastAsia="黑体"/>
        </w:rPr>
        <w:instrText xml:space="preserve"> HYPERLINK \l _Toc6817 </w:instrText>
      </w:r>
      <w:r>
        <w:rPr>
          <w:rFonts w:eastAsia="黑体"/>
        </w:rPr>
        <w:fldChar w:fldCharType="separate"/>
      </w:r>
      <w:r>
        <w:rPr>
          <w:rFonts w:hint="default" w:ascii="宋体" w:hAnsi="宋体" w:eastAsia="宋体"/>
          <w:bCs w:val="0"/>
          <w:lang w:val="en-US" w:eastAsia="zh-CN"/>
        </w:rPr>
        <w:t xml:space="preserve">3.2.4 </w:t>
      </w:r>
      <w:r>
        <w:rPr>
          <w:rFonts w:hint="default" w:eastAsia="宋体"/>
          <w:lang w:val="en-US" w:eastAsia="zh-CN"/>
        </w:rPr>
        <w:t>施工现场门卫管理制度</w:t>
      </w:r>
      <w:r>
        <w:tab/>
      </w:r>
      <w:r>
        <w:fldChar w:fldCharType="begin"/>
      </w:r>
      <w:r>
        <w:instrText xml:space="preserve"> PAGEREF _Toc6817 \h </w:instrText>
      </w:r>
      <w:r>
        <w:fldChar w:fldCharType="separate"/>
      </w:r>
      <w:r>
        <w:t>10</w:t>
      </w:r>
      <w:r>
        <w:fldChar w:fldCharType="end"/>
      </w:r>
      <w:r>
        <w:rPr>
          <w:rFonts w:eastAsia="黑体"/>
        </w:rPr>
        <w:fldChar w:fldCharType="end"/>
      </w:r>
    </w:p>
    <w:p w14:paraId="616BE626">
      <w:pPr>
        <w:pStyle w:val="30"/>
        <w:tabs>
          <w:tab w:val="right" w:leader="dot" w:pos="9070"/>
          <w:tab w:val="clear" w:pos="9060"/>
        </w:tabs>
      </w:pPr>
      <w:r>
        <w:rPr>
          <w:rFonts w:eastAsia="黑体"/>
        </w:rPr>
        <w:fldChar w:fldCharType="begin"/>
      </w:r>
      <w:r>
        <w:rPr>
          <w:rFonts w:eastAsia="黑体"/>
        </w:rPr>
        <w:instrText xml:space="preserve"> HYPERLINK \l _Toc3884 </w:instrText>
      </w:r>
      <w:r>
        <w:rPr>
          <w:rFonts w:eastAsia="黑体"/>
        </w:rPr>
        <w:fldChar w:fldCharType="separate"/>
      </w:r>
      <w:r>
        <w:rPr>
          <w:rFonts w:hint="default" w:ascii="宋体" w:hAnsi="宋体" w:eastAsia="宋体" w:cs="Times New Roman"/>
          <w:bCs/>
          <w:i w:val="0"/>
          <w:szCs w:val="24"/>
          <w:lang w:val="en-US" w:eastAsia="zh-CN"/>
        </w:rPr>
        <w:t xml:space="preserve">3.3 </w:t>
      </w:r>
      <w:r>
        <w:rPr>
          <w:rFonts w:hint="eastAsia" w:ascii="Arial" w:hAnsi="Arial" w:eastAsia="宋体" w:cs="Times New Roman"/>
          <w:bCs/>
          <w:lang w:val="en-US" w:eastAsia="zh-CN"/>
        </w:rPr>
        <w:t>绿色施工管理办法</w:t>
      </w:r>
      <w:r>
        <w:tab/>
      </w:r>
      <w:r>
        <w:fldChar w:fldCharType="begin"/>
      </w:r>
      <w:r>
        <w:instrText xml:space="preserve"> PAGEREF _Toc3884 \h </w:instrText>
      </w:r>
      <w:r>
        <w:fldChar w:fldCharType="separate"/>
      </w:r>
      <w:r>
        <w:t>11</w:t>
      </w:r>
      <w:r>
        <w:fldChar w:fldCharType="end"/>
      </w:r>
      <w:r>
        <w:rPr>
          <w:rFonts w:eastAsia="黑体"/>
        </w:rPr>
        <w:fldChar w:fldCharType="end"/>
      </w:r>
    </w:p>
    <w:p w14:paraId="6001F03A">
      <w:pPr>
        <w:pStyle w:val="20"/>
        <w:tabs>
          <w:tab w:val="right" w:leader="dot" w:pos="9070"/>
          <w:tab w:val="clear" w:pos="9060"/>
        </w:tabs>
      </w:pPr>
      <w:r>
        <w:rPr>
          <w:rFonts w:eastAsia="黑体"/>
        </w:rPr>
        <w:fldChar w:fldCharType="begin"/>
      </w:r>
      <w:r>
        <w:rPr>
          <w:rFonts w:eastAsia="黑体"/>
        </w:rPr>
        <w:instrText xml:space="preserve"> HYPERLINK \l _Toc11095 </w:instrText>
      </w:r>
      <w:r>
        <w:rPr>
          <w:rFonts w:eastAsia="黑体"/>
        </w:rPr>
        <w:fldChar w:fldCharType="separate"/>
      </w:r>
      <w:r>
        <w:rPr>
          <w:rFonts w:ascii="宋体" w:hAnsi="宋体" w:eastAsia="宋体"/>
          <w:bCs w:val="0"/>
        </w:rPr>
        <w:t xml:space="preserve">3.3.1 </w:t>
      </w:r>
      <w:r>
        <w:rPr>
          <w:rFonts w:hint="eastAsia" w:ascii="宋体" w:hAnsi="宋体"/>
        </w:rPr>
        <w:t>组织机构与职责</w:t>
      </w:r>
      <w:r>
        <w:tab/>
      </w:r>
      <w:r>
        <w:fldChar w:fldCharType="begin"/>
      </w:r>
      <w:r>
        <w:instrText xml:space="preserve"> PAGEREF _Toc11095 \h </w:instrText>
      </w:r>
      <w:r>
        <w:fldChar w:fldCharType="separate"/>
      </w:r>
      <w:r>
        <w:t>11</w:t>
      </w:r>
      <w:r>
        <w:fldChar w:fldCharType="end"/>
      </w:r>
      <w:r>
        <w:rPr>
          <w:rFonts w:eastAsia="黑体"/>
        </w:rPr>
        <w:fldChar w:fldCharType="end"/>
      </w:r>
    </w:p>
    <w:p w14:paraId="65A8BC84">
      <w:pPr>
        <w:pStyle w:val="20"/>
        <w:tabs>
          <w:tab w:val="right" w:leader="dot" w:pos="9070"/>
          <w:tab w:val="clear" w:pos="9060"/>
        </w:tabs>
      </w:pPr>
      <w:r>
        <w:rPr>
          <w:rFonts w:eastAsia="黑体"/>
        </w:rPr>
        <w:fldChar w:fldCharType="begin"/>
      </w:r>
      <w:r>
        <w:rPr>
          <w:rFonts w:eastAsia="黑体"/>
        </w:rPr>
        <w:instrText xml:space="preserve"> HYPERLINK \l _Toc30621 </w:instrText>
      </w:r>
      <w:r>
        <w:rPr>
          <w:rFonts w:eastAsia="黑体"/>
        </w:rPr>
        <w:fldChar w:fldCharType="separate"/>
      </w:r>
      <w:r>
        <w:rPr>
          <w:rFonts w:ascii="宋体" w:hAnsi="宋体" w:eastAsia="宋体"/>
          <w:bCs w:val="0"/>
        </w:rPr>
        <w:t xml:space="preserve">3.3.2 </w:t>
      </w:r>
      <w:r>
        <w:rPr>
          <w:rFonts w:hint="eastAsia" w:ascii="宋体" w:hAnsi="宋体"/>
          <w:bCs w:val="0"/>
        </w:rPr>
        <w:t>绿色施工过程管理</w:t>
      </w:r>
      <w:r>
        <w:tab/>
      </w:r>
      <w:r>
        <w:fldChar w:fldCharType="begin"/>
      </w:r>
      <w:r>
        <w:instrText xml:space="preserve"> PAGEREF _Toc30621 \h </w:instrText>
      </w:r>
      <w:r>
        <w:fldChar w:fldCharType="separate"/>
      </w:r>
      <w:r>
        <w:t>12</w:t>
      </w:r>
      <w:r>
        <w:fldChar w:fldCharType="end"/>
      </w:r>
      <w:r>
        <w:rPr>
          <w:rFonts w:eastAsia="黑体"/>
        </w:rPr>
        <w:fldChar w:fldCharType="end"/>
      </w:r>
    </w:p>
    <w:p w14:paraId="697D9278">
      <w:pPr>
        <w:pStyle w:val="20"/>
        <w:tabs>
          <w:tab w:val="right" w:leader="dot" w:pos="9070"/>
          <w:tab w:val="clear" w:pos="9060"/>
        </w:tabs>
      </w:pPr>
      <w:r>
        <w:rPr>
          <w:rFonts w:eastAsia="黑体"/>
        </w:rPr>
        <w:fldChar w:fldCharType="begin"/>
      </w:r>
      <w:r>
        <w:rPr>
          <w:rFonts w:eastAsia="黑体"/>
        </w:rPr>
        <w:instrText xml:space="preserve"> HYPERLINK \l _Toc17896 </w:instrText>
      </w:r>
      <w:r>
        <w:rPr>
          <w:rFonts w:eastAsia="黑体"/>
        </w:rPr>
        <w:fldChar w:fldCharType="separate"/>
      </w:r>
      <w:r>
        <w:rPr>
          <w:rFonts w:ascii="宋体" w:hAnsi="宋体" w:eastAsia="宋体"/>
          <w:bCs w:val="0"/>
        </w:rPr>
        <w:t xml:space="preserve">3.3.3 </w:t>
      </w:r>
      <w:r>
        <w:rPr>
          <w:rFonts w:hint="eastAsia" w:ascii="宋体" w:hAnsi="宋体"/>
          <w:bCs w:val="0"/>
        </w:rPr>
        <w:t>绿色施工的实施</w:t>
      </w:r>
      <w:r>
        <w:tab/>
      </w:r>
      <w:r>
        <w:fldChar w:fldCharType="begin"/>
      </w:r>
      <w:r>
        <w:instrText xml:space="preserve"> PAGEREF _Toc17896 \h </w:instrText>
      </w:r>
      <w:r>
        <w:fldChar w:fldCharType="separate"/>
      </w:r>
      <w:r>
        <w:t>13</w:t>
      </w:r>
      <w:r>
        <w:fldChar w:fldCharType="end"/>
      </w:r>
      <w:r>
        <w:rPr>
          <w:rFonts w:eastAsia="黑体"/>
        </w:rPr>
        <w:fldChar w:fldCharType="end"/>
      </w:r>
    </w:p>
    <w:p w14:paraId="54C9F4A0">
      <w:pPr>
        <w:pStyle w:val="30"/>
        <w:tabs>
          <w:tab w:val="right" w:leader="dot" w:pos="9070"/>
          <w:tab w:val="clear" w:pos="9060"/>
        </w:tabs>
      </w:pPr>
      <w:r>
        <w:rPr>
          <w:rFonts w:eastAsia="黑体"/>
        </w:rPr>
        <w:fldChar w:fldCharType="begin"/>
      </w:r>
      <w:r>
        <w:rPr>
          <w:rFonts w:eastAsia="黑体"/>
        </w:rPr>
        <w:instrText xml:space="preserve"> HYPERLINK \l _Toc16740 </w:instrText>
      </w:r>
      <w:r>
        <w:rPr>
          <w:rFonts w:eastAsia="黑体"/>
        </w:rPr>
        <w:fldChar w:fldCharType="separate"/>
      </w:r>
      <w:r>
        <w:rPr>
          <w:rFonts w:hint="default" w:ascii="宋体" w:hAnsi="宋体" w:eastAsia="宋体"/>
          <w:i w:val="0"/>
          <w:szCs w:val="24"/>
        </w:rPr>
        <w:t xml:space="preserve">3.4 </w:t>
      </w:r>
      <w:r>
        <w:rPr>
          <w:rFonts w:hint="eastAsia"/>
          <w:szCs w:val="24"/>
        </w:rPr>
        <w:t>绿色施工</w:t>
      </w:r>
      <w:r>
        <w:rPr>
          <w:rFonts w:hint="eastAsia"/>
          <w:szCs w:val="24"/>
          <w:lang w:val="en-US" w:eastAsia="zh-CN"/>
        </w:rPr>
        <w:t>控制</w:t>
      </w:r>
      <w:r>
        <w:rPr>
          <w:rFonts w:hint="eastAsia"/>
          <w:szCs w:val="24"/>
        </w:rPr>
        <w:t>指标</w:t>
      </w:r>
      <w:r>
        <w:tab/>
      </w:r>
      <w:r>
        <w:fldChar w:fldCharType="begin"/>
      </w:r>
      <w:r>
        <w:instrText xml:space="preserve"> PAGEREF _Toc16740 \h </w:instrText>
      </w:r>
      <w:r>
        <w:fldChar w:fldCharType="separate"/>
      </w:r>
      <w:r>
        <w:t>17</w:t>
      </w:r>
      <w:r>
        <w:fldChar w:fldCharType="end"/>
      </w:r>
      <w:r>
        <w:rPr>
          <w:rFonts w:eastAsia="黑体"/>
        </w:rPr>
        <w:fldChar w:fldCharType="end"/>
      </w:r>
    </w:p>
    <w:p w14:paraId="56A42193">
      <w:pPr>
        <w:pStyle w:val="30"/>
        <w:tabs>
          <w:tab w:val="right" w:leader="dot" w:pos="9070"/>
          <w:tab w:val="clear" w:pos="9060"/>
        </w:tabs>
      </w:pPr>
      <w:r>
        <w:rPr>
          <w:rFonts w:eastAsia="黑体"/>
        </w:rPr>
        <w:fldChar w:fldCharType="begin"/>
      </w:r>
      <w:r>
        <w:rPr>
          <w:rFonts w:eastAsia="黑体"/>
        </w:rPr>
        <w:instrText xml:space="preserve"> HYPERLINK \l _Toc23757 </w:instrText>
      </w:r>
      <w:r>
        <w:rPr>
          <w:rFonts w:eastAsia="黑体"/>
        </w:rPr>
        <w:fldChar w:fldCharType="separate"/>
      </w:r>
      <w:r>
        <w:rPr>
          <w:rFonts w:hint="default" w:ascii="宋体" w:hAnsi="宋体" w:eastAsia="宋体"/>
          <w:i w:val="0"/>
          <w:szCs w:val="24"/>
        </w:rPr>
        <w:t xml:space="preserve">3.5 </w:t>
      </w:r>
      <w:r>
        <w:rPr>
          <w:rFonts w:hint="eastAsia"/>
        </w:rPr>
        <w:t>绿色施工实施管理</w:t>
      </w:r>
      <w:r>
        <w:tab/>
      </w:r>
      <w:r>
        <w:fldChar w:fldCharType="begin"/>
      </w:r>
      <w:r>
        <w:instrText xml:space="preserve"> PAGEREF _Toc23757 \h </w:instrText>
      </w:r>
      <w:r>
        <w:fldChar w:fldCharType="separate"/>
      </w:r>
      <w:r>
        <w:t>18</w:t>
      </w:r>
      <w:r>
        <w:fldChar w:fldCharType="end"/>
      </w:r>
      <w:r>
        <w:rPr>
          <w:rFonts w:eastAsia="黑体"/>
        </w:rPr>
        <w:fldChar w:fldCharType="end"/>
      </w:r>
    </w:p>
    <w:p w14:paraId="50736954">
      <w:pPr>
        <w:pStyle w:val="30"/>
        <w:tabs>
          <w:tab w:val="right" w:leader="dot" w:pos="9070"/>
          <w:tab w:val="clear" w:pos="9060"/>
        </w:tabs>
      </w:pPr>
      <w:r>
        <w:rPr>
          <w:rFonts w:eastAsia="黑体"/>
        </w:rPr>
        <w:fldChar w:fldCharType="begin"/>
      </w:r>
      <w:r>
        <w:rPr>
          <w:rFonts w:eastAsia="黑体"/>
        </w:rPr>
        <w:instrText xml:space="preserve"> HYPERLINK \l _Toc24103 </w:instrText>
      </w:r>
      <w:r>
        <w:rPr>
          <w:rFonts w:eastAsia="黑体"/>
        </w:rPr>
        <w:fldChar w:fldCharType="separate"/>
      </w:r>
      <w:r>
        <w:rPr>
          <w:rFonts w:hint="default" w:ascii="宋体" w:hAnsi="宋体" w:eastAsia="宋体"/>
          <w:i w:val="0"/>
          <w:szCs w:val="24"/>
        </w:rPr>
        <w:t xml:space="preserve">3.6 </w:t>
      </w:r>
      <w:r>
        <w:rPr>
          <w:rFonts w:hint="eastAsia"/>
        </w:rPr>
        <w:t>各施工阶段控制要求</w:t>
      </w:r>
      <w:r>
        <w:tab/>
      </w:r>
      <w:r>
        <w:fldChar w:fldCharType="begin"/>
      </w:r>
      <w:r>
        <w:instrText xml:space="preserve"> PAGEREF _Toc24103 \h </w:instrText>
      </w:r>
      <w:r>
        <w:fldChar w:fldCharType="separate"/>
      </w:r>
      <w:r>
        <w:t>19</w:t>
      </w:r>
      <w:r>
        <w:fldChar w:fldCharType="end"/>
      </w:r>
      <w:r>
        <w:rPr>
          <w:rFonts w:eastAsia="黑体"/>
        </w:rPr>
        <w:fldChar w:fldCharType="end"/>
      </w:r>
    </w:p>
    <w:p w14:paraId="15307CB6">
      <w:pPr>
        <w:pStyle w:val="27"/>
        <w:tabs>
          <w:tab w:val="right" w:leader="dot" w:pos="9070"/>
          <w:tab w:val="clear" w:pos="9060"/>
        </w:tabs>
      </w:pPr>
      <w:r>
        <w:rPr>
          <w:rFonts w:eastAsia="黑体"/>
        </w:rPr>
        <w:fldChar w:fldCharType="begin"/>
      </w:r>
      <w:r>
        <w:rPr>
          <w:rFonts w:eastAsia="黑体"/>
        </w:rPr>
        <w:instrText xml:space="preserve"> HYPERLINK \l _Toc10180 </w:instrText>
      </w:r>
      <w:r>
        <w:rPr>
          <w:rFonts w:eastAsia="黑体"/>
        </w:rPr>
        <w:fldChar w:fldCharType="separate"/>
      </w:r>
      <w:r>
        <w:rPr>
          <w:rFonts w:hint="default" w:ascii="Arial" w:hAnsi="Arial" w:eastAsia="宋体"/>
          <w:i w:val="0"/>
          <w:kern w:val="2"/>
        </w:rPr>
        <w:t xml:space="preserve">第4章 </w:t>
      </w:r>
      <w:r>
        <w:rPr>
          <w:rFonts w:hint="eastAsia"/>
        </w:rPr>
        <w:t>绿色施工“四节一环保”施工措施</w:t>
      </w:r>
      <w:r>
        <w:tab/>
      </w:r>
      <w:r>
        <w:fldChar w:fldCharType="begin"/>
      </w:r>
      <w:r>
        <w:instrText xml:space="preserve"> PAGEREF _Toc10180 \h </w:instrText>
      </w:r>
      <w:r>
        <w:fldChar w:fldCharType="separate"/>
      </w:r>
      <w:r>
        <w:t>24</w:t>
      </w:r>
      <w:r>
        <w:fldChar w:fldCharType="end"/>
      </w:r>
      <w:r>
        <w:rPr>
          <w:rFonts w:eastAsia="黑体"/>
        </w:rPr>
        <w:fldChar w:fldCharType="end"/>
      </w:r>
    </w:p>
    <w:p w14:paraId="1B9908B9">
      <w:pPr>
        <w:pStyle w:val="30"/>
        <w:tabs>
          <w:tab w:val="right" w:leader="dot" w:pos="9070"/>
          <w:tab w:val="clear" w:pos="9060"/>
        </w:tabs>
      </w:pPr>
      <w:r>
        <w:rPr>
          <w:rFonts w:eastAsia="黑体"/>
        </w:rPr>
        <w:fldChar w:fldCharType="begin"/>
      </w:r>
      <w:r>
        <w:rPr>
          <w:rFonts w:eastAsia="黑体"/>
        </w:rPr>
        <w:instrText xml:space="preserve"> HYPERLINK \l _Toc18591 </w:instrText>
      </w:r>
      <w:r>
        <w:rPr>
          <w:rFonts w:eastAsia="黑体"/>
        </w:rPr>
        <w:fldChar w:fldCharType="separate"/>
      </w:r>
      <w:r>
        <w:rPr>
          <w:rFonts w:hint="default" w:ascii="宋体" w:hAnsi="宋体" w:eastAsia="宋体"/>
          <w:i w:val="0"/>
          <w:szCs w:val="24"/>
        </w:rPr>
        <w:t xml:space="preserve">4.1 </w:t>
      </w:r>
      <w:r>
        <w:rPr>
          <w:rFonts w:hint="eastAsia"/>
          <w:lang w:val="en-US" w:eastAsia="zh-CN"/>
        </w:rPr>
        <w:t>绿色施工实施要点</w:t>
      </w:r>
      <w:r>
        <w:tab/>
      </w:r>
      <w:r>
        <w:fldChar w:fldCharType="begin"/>
      </w:r>
      <w:r>
        <w:instrText xml:space="preserve"> PAGEREF _Toc18591 \h </w:instrText>
      </w:r>
      <w:r>
        <w:fldChar w:fldCharType="separate"/>
      </w:r>
      <w:r>
        <w:t>24</w:t>
      </w:r>
      <w:r>
        <w:fldChar w:fldCharType="end"/>
      </w:r>
      <w:r>
        <w:rPr>
          <w:rFonts w:eastAsia="黑体"/>
        </w:rPr>
        <w:fldChar w:fldCharType="end"/>
      </w:r>
    </w:p>
    <w:p w14:paraId="2A27C496">
      <w:pPr>
        <w:pStyle w:val="20"/>
        <w:tabs>
          <w:tab w:val="right" w:leader="dot" w:pos="9070"/>
          <w:tab w:val="clear" w:pos="9060"/>
        </w:tabs>
      </w:pPr>
      <w:r>
        <w:rPr>
          <w:rFonts w:eastAsia="黑体"/>
        </w:rPr>
        <w:fldChar w:fldCharType="begin"/>
      </w:r>
      <w:r>
        <w:rPr>
          <w:rFonts w:eastAsia="黑体"/>
        </w:rPr>
        <w:instrText xml:space="preserve"> HYPERLINK \l _Toc30950 </w:instrText>
      </w:r>
      <w:r>
        <w:rPr>
          <w:rFonts w:eastAsia="黑体"/>
        </w:rPr>
        <w:fldChar w:fldCharType="separate"/>
      </w:r>
      <w:r>
        <w:rPr>
          <w:rFonts w:hint="eastAsia" w:ascii="宋体" w:hAnsi="宋体" w:eastAsia="宋体"/>
          <w:bCs w:val="0"/>
        </w:rPr>
        <w:t xml:space="preserve">4.1.1 </w:t>
      </w:r>
      <w:r>
        <w:rPr>
          <w:rFonts w:hint="eastAsia"/>
        </w:rPr>
        <w:t>环境保护要点</w:t>
      </w:r>
      <w:r>
        <w:tab/>
      </w:r>
      <w:r>
        <w:fldChar w:fldCharType="begin"/>
      </w:r>
      <w:r>
        <w:instrText xml:space="preserve"> PAGEREF _Toc30950 \h </w:instrText>
      </w:r>
      <w:r>
        <w:fldChar w:fldCharType="separate"/>
      </w:r>
      <w:r>
        <w:t>24</w:t>
      </w:r>
      <w:r>
        <w:fldChar w:fldCharType="end"/>
      </w:r>
      <w:r>
        <w:rPr>
          <w:rFonts w:eastAsia="黑体"/>
        </w:rPr>
        <w:fldChar w:fldCharType="end"/>
      </w:r>
    </w:p>
    <w:p w14:paraId="0B4B4CB5">
      <w:pPr>
        <w:pStyle w:val="20"/>
        <w:tabs>
          <w:tab w:val="right" w:leader="dot" w:pos="9070"/>
          <w:tab w:val="clear" w:pos="9060"/>
        </w:tabs>
      </w:pPr>
      <w:r>
        <w:rPr>
          <w:rFonts w:eastAsia="黑体"/>
        </w:rPr>
        <w:fldChar w:fldCharType="begin"/>
      </w:r>
      <w:r>
        <w:rPr>
          <w:rFonts w:eastAsia="黑体"/>
        </w:rPr>
        <w:instrText xml:space="preserve"> HYPERLINK \l _Toc19382 </w:instrText>
      </w:r>
      <w:r>
        <w:rPr>
          <w:rFonts w:eastAsia="黑体"/>
        </w:rPr>
        <w:fldChar w:fldCharType="separate"/>
      </w:r>
      <w:r>
        <w:rPr>
          <w:rFonts w:hint="eastAsia" w:ascii="宋体" w:hAnsi="宋体" w:eastAsia="宋体"/>
          <w:bCs w:val="0"/>
        </w:rPr>
        <w:t xml:space="preserve">4.1.2 </w:t>
      </w:r>
      <w:r>
        <w:rPr>
          <w:rFonts w:hint="eastAsia"/>
        </w:rPr>
        <w:t>节材与材料资源利用技术要点</w:t>
      </w:r>
      <w:r>
        <w:tab/>
      </w:r>
      <w:r>
        <w:fldChar w:fldCharType="begin"/>
      </w:r>
      <w:r>
        <w:instrText xml:space="preserve"> PAGEREF _Toc19382 \h </w:instrText>
      </w:r>
      <w:r>
        <w:fldChar w:fldCharType="separate"/>
      </w:r>
      <w:r>
        <w:t>26</w:t>
      </w:r>
      <w:r>
        <w:fldChar w:fldCharType="end"/>
      </w:r>
      <w:r>
        <w:rPr>
          <w:rFonts w:eastAsia="黑体"/>
        </w:rPr>
        <w:fldChar w:fldCharType="end"/>
      </w:r>
    </w:p>
    <w:p w14:paraId="1EE70001">
      <w:pPr>
        <w:pStyle w:val="20"/>
        <w:tabs>
          <w:tab w:val="right" w:leader="dot" w:pos="9070"/>
          <w:tab w:val="clear" w:pos="9060"/>
        </w:tabs>
      </w:pPr>
      <w:r>
        <w:rPr>
          <w:rFonts w:eastAsia="黑体"/>
        </w:rPr>
        <w:fldChar w:fldCharType="begin"/>
      </w:r>
      <w:r>
        <w:rPr>
          <w:rFonts w:eastAsia="黑体"/>
        </w:rPr>
        <w:instrText xml:space="preserve"> HYPERLINK \l _Toc5068 </w:instrText>
      </w:r>
      <w:r>
        <w:rPr>
          <w:rFonts w:eastAsia="黑体"/>
        </w:rPr>
        <w:fldChar w:fldCharType="separate"/>
      </w:r>
      <w:r>
        <w:rPr>
          <w:rFonts w:hint="eastAsia" w:ascii="宋体" w:hAnsi="宋体" w:eastAsia="宋体"/>
          <w:bCs w:val="0"/>
        </w:rPr>
        <w:t xml:space="preserve">4.1.3 </w:t>
      </w:r>
      <w:r>
        <w:rPr>
          <w:rFonts w:hint="eastAsia"/>
        </w:rPr>
        <w:t>节水与水资源利用的技术要点</w:t>
      </w:r>
      <w:r>
        <w:tab/>
      </w:r>
      <w:r>
        <w:fldChar w:fldCharType="begin"/>
      </w:r>
      <w:r>
        <w:instrText xml:space="preserve"> PAGEREF _Toc5068 \h </w:instrText>
      </w:r>
      <w:r>
        <w:fldChar w:fldCharType="separate"/>
      </w:r>
      <w:r>
        <w:t>28</w:t>
      </w:r>
      <w:r>
        <w:fldChar w:fldCharType="end"/>
      </w:r>
      <w:r>
        <w:rPr>
          <w:rFonts w:eastAsia="黑体"/>
        </w:rPr>
        <w:fldChar w:fldCharType="end"/>
      </w:r>
    </w:p>
    <w:p w14:paraId="147A3EA7">
      <w:pPr>
        <w:pStyle w:val="20"/>
        <w:tabs>
          <w:tab w:val="right" w:leader="dot" w:pos="9070"/>
          <w:tab w:val="clear" w:pos="9060"/>
        </w:tabs>
      </w:pPr>
      <w:r>
        <w:rPr>
          <w:rFonts w:eastAsia="黑体"/>
        </w:rPr>
        <w:fldChar w:fldCharType="begin"/>
      </w:r>
      <w:r>
        <w:rPr>
          <w:rFonts w:eastAsia="黑体"/>
        </w:rPr>
        <w:instrText xml:space="preserve"> HYPERLINK \l _Toc30638 </w:instrText>
      </w:r>
      <w:r>
        <w:rPr>
          <w:rFonts w:eastAsia="黑体"/>
        </w:rPr>
        <w:fldChar w:fldCharType="separate"/>
      </w:r>
      <w:r>
        <w:rPr>
          <w:rFonts w:hint="eastAsia" w:ascii="宋体" w:hAnsi="宋体" w:eastAsia="宋体"/>
          <w:bCs w:val="0"/>
        </w:rPr>
        <w:t xml:space="preserve">4.1.4 </w:t>
      </w:r>
      <w:r>
        <w:rPr>
          <w:rFonts w:hint="eastAsia"/>
        </w:rPr>
        <w:t>节能与能源利用的技术要点</w:t>
      </w:r>
      <w:r>
        <w:tab/>
      </w:r>
      <w:r>
        <w:fldChar w:fldCharType="begin"/>
      </w:r>
      <w:r>
        <w:instrText xml:space="preserve"> PAGEREF _Toc30638 \h </w:instrText>
      </w:r>
      <w:r>
        <w:fldChar w:fldCharType="separate"/>
      </w:r>
      <w:r>
        <w:t>29</w:t>
      </w:r>
      <w:r>
        <w:fldChar w:fldCharType="end"/>
      </w:r>
      <w:r>
        <w:rPr>
          <w:rFonts w:eastAsia="黑体"/>
        </w:rPr>
        <w:fldChar w:fldCharType="end"/>
      </w:r>
    </w:p>
    <w:p w14:paraId="14160D02">
      <w:pPr>
        <w:pStyle w:val="20"/>
        <w:tabs>
          <w:tab w:val="right" w:leader="dot" w:pos="9070"/>
          <w:tab w:val="clear" w:pos="9060"/>
        </w:tabs>
      </w:pPr>
      <w:r>
        <w:rPr>
          <w:rFonts w:eastAsia="黑体"/>
        </w:rPr>
        <w:fldChar w:fldCharType="begin"/>
      </w:r>
      <w:r>
        <w:rPr>
          <w:rFonts w:eastAsia="黑体"/>
        </w:rPr>
        <w:instrText xml:space="preserve"> HYPERLINK \l _Toc24202 </w:instrText>
      </w:r>
      <w:r>
        <w:rPr>
          <w:rFonts w:eastAsia="黑体"/>
        </w:rPr>
        <w:fldChar w:fldCharType="separate"/>
      </w:r>
      <w:r>
        <w:rPr>
          <w:rFonts w:hint="eastAsia" w:ascii="宋体" w:hAnsi="宋体" w:eastAsia="宋体"/>
          <w:bCs w:val="0"/>
        </w:rPr>
        <w:t xml:space="preserve">4.1.5 </w:t>
      </w:r>
      <w:r>
        <w:rPr>
          <w:rFonts w:hint="eastAsia"/>
        </w:rPr>
        <w:t>地与施工用地保护的技术要点</w:t>
      </w:r>
      <w:r>
        <w:tab/>
      </w:r>
      <w:r>
        <w:fldChar w:fldCharType="begin"/>
      </w:r>
      <w:r>
        <w:instrText xml:space="preserve"> PAGEREF _Toc24202 \h </w:instrText>
      </w:r>
      <w:r>
        <w:fldChar w:fldCharType="separate"/>
      </w:r>
      <w:r>
        <w:t>30</w:t>
      </w:r>
      <w:r>
        <w:fldChar w:fldCharType="end"/>
      </w:r>
      <w:r>
        <w:rPr>
          <w:rFonts w:eastAsia="黑体"/>
        </w:rPr>
        <w:fldChar w:fldCharType="end"/>
      </w:r>
    </w:p>
    <w:p w14:paraId="5FCB09AA">
      <w:pPr>
        <w:pStyle w:val="30"/>
        <w:tabs>
          <w:tab w:val="right" w:leader="dot" w:pos="9070"/>
          <w:tab w:val="clear" w:pos="9060"/>
        </w:tabs>
      </w:pPr>
      <w:r>
        <w:rPr>
          <w:rFonts w:eastAsia="黑体"/>
        </w:rPr>
        <w:fldChar w:fldCharType="begin"/>
      </w:r>
      <w:r>
        <w:rPr>
          <w:rFonts w:eastAsia="黑体"/>
        </w:rPr>
        <w:instrText xml:space="preserve"> HYPERLINK \l _Toc23971 </w:instrText>
      </w:r>
      <w:r>
        <w:rPr>
          <w:rFonts w:eastAsia="黑体"/>
        </w:rPr>
        <w:fldChar w:fldCharType="separate"/>
      </w:r>
      <w:r>
        <w:rPr>
          <w:rFonts w:hint="default" w:ascii="宋体" w:hAnsi="宋体" w:eastAsia="宋体"/>
          <w:i w:val="0"/>
          <w:szCs w:val="24"/>
        </w:rPr>
        <w:t xml:space="preserve">4.2 </w:t>
      </w:r>
      <w:r>
        <w:rPr>
          <w:rFonts w:hint="eastAsia"/>
          <w:lang w:val="en-US" w:eastAsia="zh-CN"/>
        </w:rPr>
        <w:t>绿色施工措施一览</w:t>
      </w:r>
      <w:r>
        <w:tab/>
      </w:r>
      <w:r>
        <w:fldChar w:fldCharType="begin"/>
      </w:r>
      <w:r>
        <w:instrText xml:space="preserve"> PAGEREF _Toc23971 \h </w:instrText>
      </w:r>
      <w:r>
        <w:fldChar w:fldCharType="separate"/>
      </w:r>
      <w:r>
        <w:t>31</w:t>
      </w:r>
      <w:r>
        <w:fldChar w:fldCharType="end"/>
      </w:r>
      <w:r>
        <w:rPr>
          <w:rFonts w:eastAsia="黑体"/>
        </w:rPr>
        <w:fldChar w:fldCharType="end"/>
      </w:r>
    </w:p>
    <w:p w14:paraId="6468FC45">
      <w:pPr>
        <w:pStyle w:val="20"/>
        <w:tabs>
          <w:tab w:val="right" w:leader="dot" w:pos="9070"/>
          <w:tab w:val="clear" w:pos="9060"/>
        </w:tabs>
      </w:pPr>
      <w:r>
        <w:rPr>
          <w:rFonts w:eastAsia="黑体"/>
        </w:rPr>
        <w:fldChar w:fldCharType="begin"/>
      </w:r>
      <w:r>
        <w:rPr>
          <w:rFonts w:eastAsia="黑体"/>
        </w:rPr>
        <w:instrText xml:space="preserve"> HYPERLINK \l _Toc17345 </w:instrText>
      </w:r>
      <w:r>
        <w:rPr>
          <w:rFonts w:eastAsia="黑体"/>
        </w:rPr>
        <w:fldChar w:fldCharType="separate"/>
      </w:r>
      <w:r>
        <w:rPr>
          <w:rFonts w:ascii="宋体" w:hAnsi="宋体" w:eastAsia="宋体"/>
          <w:bCs w:val="0"/>
        </w:rPr>
        <w:t xml:space="preserve">4.2.1 </w:t>
      </w:r>
      <w:r>
        <w:rPr>
          <w:rFonts w:hint="eastAsia"/>
          <w:lang w:val="en-US" w:eastAsia="zh-CN"/>
        </w:rPr>
        <w:t>绿色施工技术措施</w:t>
      </w:r>
      <w:r>
        <w:tab/>
      </w:r>
      <w:r>
        <w:fldChar w:fldCharType="begin"/>
      </w:r>
      <w:r>
        <w:instrText xml:space="preserve"> PAGEREF _Toc17345 \h </w:instrText>
      </w:r>
      <w:r>
        <w:fldChar w:fldCharType="separate"/>
      </w:r>
      <w:r>
        <w:t>31</w:t>
      </w:r>
      <w:r>
        <w:fldChar w:fldCharType="end"/>
      </w:r>
      <w:r>
        <w:rPr>
          <w:rFonts w:eastAsia="黑体"/>
        </w:rPr>
        <w:fldChar w:fldCharType="end"/>
      </w:r>
    </w:p>
    <w:p w14:paraId="5A733892">
      <w:pPr>
        <w:pStyle w:val="20"/>
        <w:tabs>
          <w:tab w:val="right" w:leader="dot" w:pos="9070"/>
          <w:tab w:val="clear" w:pos="9060"/>
        </w:tabs>
      </w:pPr>
      <w:r>
        <w:rPr>
          <w:rFonts w:eastAsia="黑体"/>
        </w:rPr>
        <w:fldChar w:fldCharType="begin"/>
      </w:r>
      <w:r>
        <w:rPr>
          <w:rFonts w:eastAsia="黑体"/>
        </w:rPr>
        <w:instrText xml:space="preserve"> HYPERLINK \l _Toc11226 </w:instrText>
      </w:r>
      <w:r>
        <w:rPr>
          <w:rFonts w:eastAsia="黑体"/>
        </w:rPr>
        <w:fldChar w:fldCharType="separate"/>
      </w:r>
      <w:r>
        <w:rPr>
          <w:rFonts w:ascii="宋体" w:hAnsi="宋体" w:eastAsia="宋体" w:cs="Times New Roman"/>
          <w:bCs w:val="0"/>
          <w:lang w:val="en-US" w:eastAsia="zh-CN"/>
        </w:rPr>
        <w:t xml:space="preserve">4.2.2 </w:t>
      </w:r>
      <w:r>
        <w:rPr>
          <w:rFonts w:hint="eastAsia" w:eastAsia="宋体" w:cs="Times New Roman"/>
          <w:lang w:val="en-US" w:eastAsia="zh-CN"/>
        </w:rPr>
        <w:t>绿色施工的实施措施</w:t>
      </w:r>
      <w:r>
        <w:tab/>
      </w:r>
      <w:r>
        <w:fldChar w:fldCharType="begin"/>
      </w:r>
      <w:r>
        <w:instrText xml:space="preserve"> PAGEREF _Toc11226 \h </w:instrText>
      </w:r>
      <w:r>
        <w:fldChar w:fldCharType="separate"/>
      </w:r>
      <w:r>
        <w:t>37</w:t>
      </w:r>
      <w:r>
        <w:fldChar w:fldCharType="end"/>
      </w:r>
      <w:r>
        <w:rPr>
          <w:rFonts w:eastAsia="黑体"/>
        </w:rPr>
        <w:fldChar w:fldCharType="end"/>
      </w:r>
    </w:p>
    <w:p w14:paraId="779A96A1">
      <w:pPr>
        <w:pStyle w:val="30"/>
        <w:tabs>
          <w:tab w:val="right" w:leader="dot" w:pos="9070"/>
          <w:tab w:val="clear" w:pos="9060"/>
        </w:tabs>
      </w:pPr>
      <w:r>
        <w:rPr>
          <w:rFonts w:eastAsia="黑体"/>
        </w:rPr>
        <w:fldChar w:fldCharType="begin"/>
      </w:r>
      <w:r>
        <w:rPr>
          <w:rFonts w:eastAsia="黑体"/>
        </w:rPr>
        <w:instrText xml:space="preserve"> HYPERLINK \l _Toc5667 </w:instrText>
      </w:r>
      <w:r>
        <w:rPr>
          <w:rFonts w:eastAsia="黑体"/>
        </w:rPr>
        <w:fldChar w:fldCharType="separate"/>
      </w:r>
      <w:r>
        <w:rPr>
          <w:rFonts w:hint="default" w:ascii="宋体" w:hAnsi="宋体" w:eastAsia="宋体"/>
          <w:i w:val="0"/>
          <w:szCs w:val="24"/>
        </w:rPr>
        <w:t xml:space="preserve">4.3 </w:t>
      </w:r>
      <w:r>
        <w:rPr>
          <w:rFonts w:hint="eastAsia"/>
        </w:rPr>
        <w:t>环境保护</w:t>
      </w:r>
      <w:r>
        <w:tab/>
      </w:r>
      <w:r>
        <w:fldChar w:fldCharType="begin"/>
      </w:r>
      <w:r>
        <w:instrText xml:space="preserve"> PAGEREF _Toc5667 \h </w:instrText>
      </w:r>
      <w:r>
        <w:fldChar w:fldCharType="separate"/>
      </w:r>
      <w:r>
        <w:t>45</w:t>
      </w:r>
      <w:r>
        <w:fldChar w:fldCharType="end"/>
      </w:r>
      <w:r>
        <w:rPr>
          <w:rFonts w:eastAsia="黑体"/>
        </w:rPr>
        <w:fldChar w:fldCharType="end"/>
      </w:r>
    </w:p>
    <w:p w14:paraId="57A7CA48">
      <w:pPr>
        <w:pStyle w:val="20"/>
        <w:tabs>
          <w:tab w:val="right" w:leader="dot" w:pos="9070"/>
          <w:tab w:val="clear" w:pos="9060"/>
        </w:tabs>
      </w:pPr>
      <w:r>
        <w:rPr>
          <w:rFonts w:eastAsia="黑体"/>
        </w:rPr>
        <w:fldChar w:fldCharType="begin"/>
      </w:r>
      <w:r>
        <w:rPr>
          <w:rFonts w:eastAsia="黑体"/>
        </w:rPr>
        <w:instrText xml:space="preserve"> HYPERLINK \l _Toc22969 </w:instrText>
      </w:r>
      <w:r>
        <w:rPr>
          <w:rFonts w:eastAsia="黑体"/>
        </w:rPr>
        <w:fldChar w:fldCharType="separate"/>
      </w:r>
      <w:r>
        <w:rPr>
          <w:rFonts w:ascii="宋体" w:hAnsi="宋体" w:eastAsia="宋体"/>
          <w:bCs w:val="0"/>
        </w:rPr>
        <w:t xml:space="preserve">4.3.1 </w:t>
      </w:r>
      <w:r>
        <w:rPr>
          <w:rFonts w:hint="eastAsia"/>
        </w:rPr>
        <w:t>环境保护管理</w:t>
      </w:r>
      <w:r>
        <w:tab/>
      </w:r>
      <w:r>
        <w:fldChar w:fldCharType="begin"/>
      </w:r>
      <w:r>
        <w:instrText xml:space="preserve"> PAGEREF _Toc22969 \h </w:instrText>
      </w:r>
      <w:r>
        <w:fldChar w:fldCharType="separate"/>
      </w:r>
      <w:r>
        <w:t>45</w:t>
      </w:r>
      <w:r>
        <w:fldChar w:fldCharType="end"/>
      </w:r>
      <w:r>
        <w:rPr>
          <w:rFonts w:eastAsia="黑体"/>
        </w:rPr>
        <w:fldChar w:fldCharType="end"/>
      </w:r>
    </w:p>
    <w:p w14:paraId="0E2B1462">
      <w:pPr>
        <w:pStyle w:val="20"/>
        <w:tabs>
          <w:tab w:val="right" w:leader="dot" w:pos="9070"/>
          <w:tab w:val="clear" w:pos="9060"/>
        </w:tabs>
      </w:pPr>
      <w:r>
        <w:rPr>
          <w:rFonts w:eastAsia="黑体"/>
        </w:rPr>
        <w:fldChar w:fldCharType="begin"/>
      </w:r>
      <w:r>
        <w:rPr>
          <w:rFonts w:eastAsia="黑体"/>
        </w:rPr>
        <w:instrText xml:space="preserve"> HYPERLINK \l _Toc2323 </w:instrText>
      </w:r>
      <w:r>
        <w:rPr>
          <w:rFonts w:eastAsia="黑体"/>
        </w:rPr>
        <w:fldChar w:fldCharType="separate"/>
      </w:r>
      <w:r>
        <w:rPr>
          <w:rFonts w:hint="eastAsia" w:ascii="宋体" w:hAnsi="宋体" w:eastAsia="宋体"/>
          <w:bCs w:val="0"/>
        </w:rPr>
        <w:t xml:space="preserve">4.3.2 </w:t>
      </w:r>
      <w:r>
        <w:rPr>
          <w:rFonts w:hint="eastAsia"/>
        </w:rPr>
        <w:t>扬尘控制</w:t>
      </w:r>
      <w:r>
        <w:tab/>
      </w:r>
      <w:r>
        <w:fldChar w:fldCharType="begin"/>
      </w:r>
      <w:r>
        <w:instrText xml:space="preserve"> PAGEREF _Toc2323 \h </w:instrText>
      </w:r>
      <w:r>
        <w:fldChar w:fldCharType="separate"/>
      </w:r>
      <w:r>
        <w:t>54</w:t>
      </w:r>
      <w:r>
        <w:fldChar w:fldCharType="end"/>
      </w:r>
      <w:r>
        <w:rPr>
          <w:rFonts w:eastAsia="黑体"/>
        </w:rPr>
        <w:fldChar w:fldCharType="end"/>
      </w:r>
    </w:p>
    <w:p w14:paraId="328EEB8A">
      <w:pPr>
        <w:pStyle w:val="20"/>
        <w:tabs>
          <w:tab w:val="right" w:leader="dot" w:pos="9070"/>
          <w:tab w:val="clear" w:pos="9060"/>
        </w:tabs>
      </w:pPr>
      <w:r>
        <w:rPr>
          <w:rFonts w:eastAsia="黑体"/>
        </w:rPr>
        <w:fldChar w:fldCharType="begin"/>
      </w:r>
      <w:r>
        <w:rPr>
          <w:rFonts w:eastAsia="黑体"/>
        </w:rPr>
        <w:instrText xml:space="preserve"> HYPERLINK \l _Toc18531 </w:instrText>
      </w:r>
      <w:r>
        <w:rPr>
          <w:rFonts w:eastAsia="黑体"/>
        </w:rPr>
        <w:fldChar w:fldCharType="separate"/>
      </w:r>
      <w:r>
        <w:rPr>
          <w:rFonts w:ascii="宋体" w:hAnsi="宋体" w:eastAsia="宋体"/>
          <w:bCs w:val="0"/>
        </w:rPr>
        <w:t xml:space="preserve">4.3.3 </w:t>
      </w:r>
      <w:r>
        <w:rPr>
          <w:rFonts w:hint="eastAsia"/>
        </w:rPr>
        <w:t>噪音与振动控制</w:t>
      </w:r>
      <w:r>
        <w:tab/>
      </w:r>
      <w:r>
        <w:fldChar w:fldCharType="begin"/>
      </w:r>
      <w:r>
        <w:instrText xml:space="preserve"> PAGEREF _Toc18531 \h </w:instrText>
      </w:r>
      <w:r>
        <w:fldChar w:fldCharType="separate"/>
      </w:r>
      <w:r>
        <w:t>57</w:t>
      </w:r>
      <w:r>
        <w:fldChar w:fldCharType="end"/>
      </w:r>
      <w:r>
        <w:rPr>
          <w:rFonts w:eastAsia="黑体"/>
        </w:rPr>
        <w:fldChar w:fldCharType="end"/>
      </w:r>
    </w:p>
    <w:p w14:paraId="48836897">
      <w:pPr>
        <w:pStyle w:val="20"/>
        <w:tabs>
          <w:tab w:val="right" w:leader="dot" w:pos="9070"/>
          <w:tab w:val="clear" w:pos="9060"/>
        </w:tabs>
      </w:pPr>
      <w:r>
        <w:rPr>
          <w:rFonts w:eastAsia="黑体"/>
        </w:rPr>
        <w:fldChar w:fldCharType="begin"/>
      </w:r>
      <w:r>
        <w:rPr>
          <w:rFonts w:eastAsia="黑体"/>
        </w:rPr>
        <w:instrText xml:space="preserve"> HYPERLINK \l _Toc12106 </w:instrText>
      </w:r>
      <w:r>
        <w:rPr>
          <w:rFonts w:eastAsia="黑体"/>
        </w:rPr>
        <w:fldChar w:fldCharType="separate"/>
      </w:r>
      <w:r>
        <w:rPr>
          <w:rFonts w:ascii="宋体" w:hAnsi="宋体" w:eastAsia="宋体"/>
          <w:bCs w:val="0"/>
        </w:rPr>
        <w:t xml:space="preserve">4.3.4 </w:t>
      </w:r>
      <w:r>
        <w:rPr>
          <w:rFonts w:hint="eastAsia"/>
        </w:rPr>
        <w:t>光污染控制</w:t>
      </w:r>
      <w:r>
        <w:tab/>
      </w:r>
      <w:r>
        <w:fldChar w:fldCharType="begin"/>
      </w:r>
      <w:r>
        <w:instrText xml:space="preserve"> PAGEREF _Toc12106 \h </w:instrText>
      </w:r>
      <w:r>
        <w:fldChar w:fldCharType="separate"/>
      </w:r>
      <w:r>
        <w:t>57</w:t>
      </w:r>
      <w:r>
        <w:fldChar w:fldCharType="end"/>
      </w:r>
      <w:r>
        <w:rPr>
          <w:rFonts w:eastAsia="黑体"/>
        </w:rPr>
        <w:fldChar w:fldCharType="end"/>
      </w:r>
    </w:p>
    <w:p w14:paraId="3733FC9A">
      <w:pPr>
        <w:pStyle w:val="20"/>
        <w:tabs>
          <w:tab w:val="right" w:leader="dot" w:pos="9070"/>
          <w:tab w:val="clear" w:pos="9060"/>
        </w:tabs>
      </w:pPr>
      <w:r>
        <w:rPr>
          <w:rFonts w:eastAsia="黑体"/>
        </w:rPr>
        <w:fldChar w:fldCharType="begin"/>
      </w:r>
      <w:r>
        <w:rPr>
          <w:rFonts w:eastAsia="黑体"/>
        </w:rPr>
        <w:instrText xml:space="preserve"> HYPERLINK \l _Toc9543 </w:instrText>
      </w:r>
      <w:r>
        <w:rPr>
          <w:rFonts w:eastAsia="黑体"/>
        </w:rPr>
        <w:fldChar w:fldCharType="separate"/>
      </w:r>
      <w:r>
        <w:rPr>
          <w:rFonts w:ascii="宋体" w:hAnsi="宋体" w:eastAsia="宋体"/>
          <w:bCs w:val="0"/>
        </w:rPr>
        <w:t xml:space="preserve">4.3.5 </w:t>
      </w:r>
      <w:r>
        <w:rPr>
          <w:rFonts w:hint="eastAsia"/>
        </w:rPr>
        <w:t>水污染控制</w:t>
      </w:r>
      <w:r>
        <w:tab/>
      </w:r>
      <w:r>
        <w:fldChar w:fldCharType="begin"/>
      </w:r>
      <w:r>
        <w:instrText xml:space="preserve"> PAGEREF _Toc9543 \h </w:instrText>
      </w:r>
      <w:r>
        <w:fldChar w:fldCharType="separate"/>
      </w:r>
      <w:r>
        <w:t>58</w:t>
      </w:r>
      <w:r>
        <w:fldChar w:fldCharType="end"/>
      </w:r>
      <w:r>
        <w:rPr>
          <w:rFonts w:eastAsia="黑体"/>
        </w:rPr>
        <w:fldChar w:fldCharType="end"/>
      </w:r>
    </w:p>
    <w:p w14:paraId="2E72936A">
      <w:pPr>
        <w:pStyle w:val="20"/>
        <w:tabs>
          <w:tab w:val="right" w:leader="dot" w:pos="9070"/>
          <w:tab w:val="clear" w:pos="9060"/>
        </w:tabs>
      </w:pPr>
      <w:r>
        <w:rPr>
          <w:rFonts w:eastAsia="黑体"/>
        </w:rPr>
        <w:fldChar w:fldCharType="begin"/>
      </w:r>
      <w:r>
        <w:rPr>
          <w:rFonts w:eastAsia="黑体"/>
        </w:rPr>
        <w:instrText xml:space="preserve"> HYPERLINK \l _Toc14247 </w:instrText>
      </w:r>
      <w:r>
        <w:rPr>
          <w:rFonts w:eastAsia="黑体"/>
        </w:rPr>
        <w:fldChar w:fldCharType="separate"/>
      </w:r>
      <w:r>
        <w:rPr>
          <w:rFonts w:ascii="宋体" w:hAnsi="宋体" w:eastAsia="宋体"/>
          <w:bCs w:val="0"/>
        </w:rPr>
        <w:t xml:space="preserve">4.3.6 </w:t>
      </w:r>
      <w:r>
        <w:rPr>
          <w:rFonts w:hint="eastAsia"/>
        </w:rPr>
        <w:t>土壤保护</w:t>
      </w:r>
      <w:r>
        <w:tab/>
      </w:r>
      <w:r>
        <w:fldChar w:fldCharType="begin"/>
      </w:r>
      <w:r>
        <w:instrText xml:space="preserve"> PAGEREF _Toc14247 \h </w:instrText>
      </w:r>
      <w:r>
        <w:fldChar w:fldCharType="separate"/>
      </w:r>
      <w:r>
        <w:t>58</w:t>
      </w:r>
      <w:r>
        <w:fldChar w:fldCharType="end"/>
      </w:r>
      <w:r>
        <w:rPr>
          <w:rFonts w:eastAsia="黑体"/>
        </w:rPr>
        <w:fldChar w:fldCharType="end"/>
      </w:r>
    </w:p>
    <w:p w14:paraId="758D0AD2">
      <w:pPr>
        <w:pStyle w:val="20"/>
        <w:tabs>
          <w:tab w:val="right" w:leader="dot" w:pos="9070"/>
          <w:tab w:val="clear" w:pos="9060"/>
        </w:tabs>
      </w:pPr>
      <w:r>
        <w:rPr>
          <w:rFonts w:eastAsia="黑体"/>
        </w:rPr>
        <w:fldChar w:fldCharType="begin"/>
      </w:r>
      <w:r>
        <w:rPr>
          <w:rFonts w:eastAsia="黑体"/>
        </w:rPr>
        <w:instrText xml:space="preserve"> HYPERLINK \l _Toc1580 </w:instrText>
      </w:r>
      <w:r>
        <w:rPr>
          <w:rFonts w:eastAsia="黑体"/>
        </w:rPr>
        <w:fldChar w:fldCharType="separate"/>
      </w:r>
      <w:r>
        <w:rPr>
          <w:rFonts w:ascii="宋体" w:hAnsi="宋体" w:eastAsia="宋体"/>
          <w:bCs w:val="0"/>
        </w:rPr>
        <w:t xml:space="preserve">4.3.7 </w:t>
      </w:r>
      <w:r>
        <w:rPr>
          <w:rFonts w:hint="eastAsia"/>
        </w:rPr>
        <w:t>建筑垃圾控制</w:t>
      </w:r>
      <w:r>
        <w:tab/>
      </w:r>
      <w:r>
        <w:fldChar w:fldCharType="begin"/>
      </w:r>
      <w:r>
        <w:instrText xml:space="preserve"> PAGEREF _Toc1580 \h </w:instrText>
      </w:r>
      <w:r>
        <w:fldChar w:fldCharType="separate"/>
      </w:r>
      <w:r>
        <w:t>59</w:t>
      </w:r>
      <w:r>
        <w:fldChar w:fldCharType="end"/>
      </w:r>
      <w:r>
        <w:rPr>
          <w:rFonts w:eastAsia="黑体"/>
        </w:rPr>
        <w:fldChar w:fldCharType="end"/>
      </w:r>
    </w:p>
    <w:p w14:paraId="0F5BC33D">
      <w:pPr>
        <w:pStyle w:val="20"/>
        <w:tabs>
          <w:tab w:val="right" w:leader="dot" w:pos="9070"/>
          <w:tab w:val="clear" w:pos="9060"/>
        </w:tabs>
      </w:pPr>
      <w:r>
        <w:rPr>
          <w:rFonts w:eastAsia="黑体"/>
        </w:rPr>
        <w:fldChar w:fldCharType="begin"/>
      </w:r>
      <w:r>
        <w:rPr>
          <w:rFonts w:eastAsia="黑体"/>
        </w:rPr>
        <w:instrText xml:space="preserve"> HYPERLINK \l _Toc8607 </w:instrText>
      </w:r>
      <w:r>
        <w:rPr>
          <w:rFonts w:eastAsia="黑体"/>
        </w:rPr>
        <w:fldChar w:fldCharType="separate"/>
      </w:r>
      <w:r>
        <w:rPr>
          <w:rFonts w:ascii="宋体" w:hAnsi="宋体" w:eastAsia="宋体"/>
          <w:bCs w:val="0"/>
        </w:rPr>
        <w:t xml:space="preserve">4.3.8 </w:t>
      </w:r>
      <w:r>
        <w:rPr>
          <w:rFonts w:hint="eastAsia"/>
        </w:rPr>
        <w:t>地下设施、文物和资源保护</w:t>
      </w:r>
      <w:r>
        <w:tab/>
      </w:r>
      <w:r>
        <w:fldChar w:fldCharType="begin"/>
      </w:r>
      <w:r>
        <w:instrText xml:space="preserve"> PAGEREF _Toc8607 \h </w:instrText>
      </w:r>
      <w:r>
        <w:fldChar w:fldCharType="separate"/>
      </w:r>
      <w:r>
        <w:t>60</w:t>
      </w:r>
      <w:r>
        <w:fldChar w:fldCharType="end"/>
      </w:r>
      <w:r>
        <w:rPr>
          <w:rFonts w:eastAsia="黑体"/>
        </w:rPr>
        <w:fldChar w:fldCharType="end"/>
      </w:r>
    </w:p>
    <w:p w14:paraId="74C5C5F8">
      <w:pPr>
        <w:pStyle w:val="20"/>
        <w:tabs>
          <w:tab w:val="right" w:leader="dot" w:pos="9070"/>
          <w:tab w:val="clear" w:pos="9060"/>
        </w:tabs>
      </w:pPr>
      <w:r>
        <w:rPr>
          <w:rFonts w:eastAsia="黑体"/>
        </w:rPr>
        <w:fldChar w:fldCharType="begin"/>
      </w:r>
      <w:r>
        <w:rPr>
          <w:rFonts w:eastAsia="黑体"/>
        </w:rPr>
        <w:instrText xml:space="preserve"> HYPERLINK \l _Toc12916 </w:instrText>
      </w:r>
      <w:r>
        <w:rPr>
          <w:rFonts w:eastAsia="黑体"/>
        </w:rPr>
        <w:fldChar w:fldCharType="separate"/>
      </w:r>
      <w:r>
        <w:rPr>
          <w:rFonts w:ascii="宋体" w:hAnsi="宋体" w:eastAsia="宋体"/>
          <w:bCs w:val="0"/>
        </w:rPr>
        <w:t xml:space="preserve">4.3.9 </w:t>
      </w:r>
      <w:r>
        <w:rPr>
          <w:rFonts w:hint="eastAsia"/>
        </w:rPr>
        <w:t>环保监控</w:t>
      </w:r>
      <w:r>
        <w:tab/>
      </w:r>
      <w:r>
        <w:fldChar w:fldCharType="begin"/>
      </w:r>
      <w:r>
        <w:instrText xml:space="preserve"> PAGEREF _Toc12916 \h </w:instrText>
      </w:r>
      <w:r>
        <w:fldChar w:fldCharType="separate"/>
      </w:r>
      <w:r>
        <w:t>60</w:t>
      </w:r>
      <w:r>
        <w:fldChar w:fldCharType="end"/>
      </w:r>
      <w:r>
        <w:rPr>
          <w:rFonts w:eastAsia="黑体"/>
        </w:rPr>
        <w:fldChar w:fldCharType="end"/>
      </w:r>
    </w:p>
    <w:p w14:paraId="37E47B2C">
      <w:pPr>
        <w:pStyle w:val="20"/>
        <w:tabs>
          <w:tab w:val="right" w:leader="dot" w:pos="9070"/>
          <w:tab w:val="clear" w:pos="9060"/>
        </w:tabs>
      </w:pPr>
      <w:r>
        <w:rPr>
          <w:rFonts w:eastAsia="黑体"/>
        </w:rPr>
        <w:fldChar w:fldCharType="begin"/>
      </w:r>
      <w:r>
        <w:rPr>
          <w:rFonts w:eastAsia="黑体"/>
        </w:rPr>
        <w:instrText xml:space="preserve"> HYPERLINK \l _Toc11736 </w:instrText>
      </w:r>
      <w:r>
        <w:rPr>
          <w:rFonts w:eastAsia="黑体"/>
        </w:rPr>
        <w:fldChar w:fldCharType="separate"/>
      </w:r>
      <w:r>
        <w:rPr>
          <w:rFonts w:ascii="宋体" w:hAnsi="宋体" w:eastAsia="宋体"/>
          <w:bCs w:val="0"/>
        </w:rPr>
        <w:t xml:space="preserve">4.3.10 </w:t>
      </w:r>
      <w:r>
        <w:rPr>
          <w:rFonts w:hint="eastAsia"/>
        </w:rPr>
        <w:t>环境保护措施</w:t>
      </w:r>
      <w:r>
        <w:tab/>
      </w:r>
      <w:r>
        <w:fldChar w:fldCharType="begin"/>
      </w:r>
      <w:r>
        <w:instrText xml:space="preserve"> PAGEREF _Toc11736 \h </w:instrText>
      </w:r>
      <w:r>
        <w:fldChar w:fldCharType="separate"/>
      </w:r>
      <w:r>
        <w:t>60</w:t>
      </w:r>
      <w:r>
        <w:fldChar w:fldCharType="end"/>
      </w:r>
      <w:r>
        <w:rPr>
          <w:rFonts w:eastAsia="黑体"/>
        </w:rPr>
        <w:fldChar w:fldCharType="end"/>
      </w:r>
    </w:p>
    <w:p w14:paraId="209F6E0C">
      <w:pPr>
        <w:pStyle w:val="20"/>
        <w:tabs>
          <w:tab w:val="right" w:leader="dot" w:pos="9070"/>
          <w:tab w:val="clear" w:pos="9060"/>
        </w:tabs>
      </w:pPr>
      <w:r>
        <w:rPr>
          <w:rFonts w:eastAsia="黑体"/>
        </w:rPr>
        <w:fldChar w:fldCharType="begin"/>
      </w:r>
      <w:r>
        <w:rPr>
          <w:rFonts w:eastAsia="黑体"/>
        </w:rPr>
        <w:instrText xml:space="preserve"> HYPERLINK \l _Toc27572 </w:instrText>
      </w:r>
      <w:r>
        <w:rPr>
          <w:rFonts w:eastAsia="黑体"/>
        </w:rPr>
        <w:fldChar w:fldCharType="separate"/>
      </w:r>
      <w:r>
        <w:rPr>
          <w:rFonts w:ascii="宋体" w:hAnsi="宋体" w:eastAsia="宋体"/>
          <w:bCs w:val="0"/>
        </w:rPr>
        <w:t xml:space="preserve">4.3.11 </w:t>
      </w:r>
      <w:r>
        <w:rPr>
          <w:rFonts w:hint="eastAsia"/>
        </w:rPr>
        <w:t>室内环境质量保护</w:t>
      </w:r>
      <w:r>
        <w:tab/>
      </w:r>
      <w:r>
        <w:fldChar w:fldCharType="begin"/>
      </w:r>
      <w:r>
        <w:instrText xml:space="preserve"> PAGEREF _Toc27572 \h </w:instrText>
      </w:r>
      <w:r>
        <w:fldChar w:fldCharType="separate"/>
      </w:r>
      <w:r>
        <w:t>67</w:t>
      </w:r>
      <w:r>
        <w:fldChar w:fldCharType="end"/>
      </w:r>
      <w:r>
        <w:rPr>
          <w:rFonts w:eastAsia="黑体"/>
        </w:rPr>
        <w:fldChar w:fldCharType="end"/>
      </w:r>
    </w:p>
    <w:p w14:paraId="011C10C7">
      <w:pPr>
        <w:pStyle w:val="20"/>
        <w:tabs>
          <w:tab w:val="right" w:leader="dot" w:pos="9070"/>
          <w:tab w:val="clear" w:pos="9060"/>
        </w:tabs>
      </w:pPr>
      <w:r>
        <w:rPr>
          <w:rFonts w:eastAsia="黑体"/>
        </w:rPr>
        <w:fldChar w:fldCharType="begin"/>
      </w:r>
      <w:r>
        <w:rPr>
          <w:rFonts w:eastAsia="黑体"/>
        </w:rPr>
        <w:instrText xml:space="preserve"> HYPERLINK \l _Toc13560 </w:instrText>
      </w:r>
      <w:r>
        <w:rPr>
          <w:rFonts w:eastAsia="黑体"/>
        </w:rPr>
        <w:fldChar w:fldCharType="separate"/>
      </w:r>
      <w:r>
        <w:rPr>
          <w:rFonts w:ascii="宋体" w:hAnsi="宋体" w:eastAsia="宋体"/>
          <w:bCs w:val="0"/>
        </w:rPr>
        <w:t xml:space="preserve">4.3.12 </w:t>
      </w:r>
      <w:r>
        <w:rPr>
          <w:rFonts w:hint="eastAsia"/>
        </w:rPr>
        <w:t>室外环境保护措施</w:t>
      </w:r>
      <w:r>
        <w:tab/>
      </w:r>
      <w:r>
        <w:fldChar w:fldCharType="begin"/>
      </w:r>
      <w:r>
        <w:instrText xml:space="preserve"> PAGEREF _Toc13560 \h </w:instrText>
      </w:r>
      <w:r>
        <w:fldChar w:fldCharType="separate"/>
      </w:r>
      <w:r>
        <w:t>68</w:t>
      </w:r>
      <w:r>
        <w:fldChar w:fldCharType="end"/>
      </w:r>
      <w:r>
        <w:rPr>
          <w:rFonts w:eastAsia="黑体"/>
        </w:rPr>
        <w:fldChar w:fldCharType="end"/>
      </w:r>
    </w:p>
    <w:p w14:paraId="63E06ED5">
      <w:pPr>
        <w:pStyle w:val="30"/>
        <w:tabs>
          <w:tab w:val="right" w:leader="dot" w:pos="9070"/>
          <w:tab w:val="clear" w:pos="9060"/>
        </w:tabs>
      </w:pPr>
      <w:r>
        <w:rPr>
          <w:rFonts w:eastAsia="黑体"/>
        </w:rPr>
        <w:fldChar w:fldCharType="begin"/>
      </w:r>
      <w:r>
        <w:rPr>
          <w:rFonts w:eastAsia="黑体"/>
        </w:rPr>
        <w:instrText xml:space="preserve"> HYPERLINK \l _Toc22483 </w:instrText>
      </w:r>
      <w:r>
        <w:rPr>
          <w:rFonts w:eastAsia="黑体"/>
        </w:rPr>
        <w:fldChar w:fldCharType="separate"/>
      </w:r>
      <w:r>
        <w:rPr>
          <w:rFonts w:hint="default" w:ascii="宋体" w:hAnsi="宋体" w:eastAsia="宋体"/>
          <w:i w:val="0"/>
          <w:szCs w:val="24"/>
        </w:rPr>
        <w:t xml:space="preserve">4.4 </w:t>
      </w:r>
      <w:r>
        <w:rPr>
          <w:rFonts w:hint="eastAsia"/>
        </w:rPr>
        <w:t>节材与材料资源利用</w:t>
      </w:r>
      <w:r>
        <w:tab/>
      </w:r>
      <w:r>
        <w:fldChar w:fldCharType="begin"/>
      </w:r>
      <w:r>
        <w:instrText xml:space="preserve"> PAGEREF _Toc22483 \h </w:instrText>
      </w:r>
      <w:r>
        <w:fldChar w:fldCharType="separate"/>
      </w:r>
      <w:r>
        <w:t>70</w:t>
      </w:r>
      <w:r>
        <w:fldChar w:fldCharType="end"/>
      </w:r>
      <w:r>
        <w:rPr>
          <w:rFonts w:eastAsia="黑体"/>
        </w:rPr>
        <w:fldChar w:fldCharType="end"/>
      </w:r>
    </w:p>
    <w:p w14:paraId="2969AA2B">
      <w:pPr>
        <w:pStyle w:val="20"/>
        <w:tabs>
          <w:tab w:val="right" w:leader="dot" w:pos="9070"/>
          <w:tab w:val="clear" w:pos="9060"/>
        </w:tabs>
      </w:pPr>
      <w:r>
        <w:rPr>
          <w:rFonts w:eastAsia="黑体"/>
        </w:rPr>
        <w:fldChar w:fldCharType="begin"/>
      </w:r>
      <w:r>
        <w:rPr>
          <w:rFonts w:eastAsia="黑体"/>
        </w:rPr>
        <w:instrText xml:space="preserve"> HYPERLINK \l _Toc7612 </w:instrText>
      </w:r>
      <w:r>
        <w:rPr>
          <w:rFonts w:eastAsia="黑体"/>
        </w:rPr>
        <w:fldChar w:fldCharType="separate"/>
      </w:r>
      <w:r>
        <w:rPr>
          <w:rFonts w:hint="default" w:ascii="宋体" w:hAnsi="宋体" w:eastAsia="宋体"/>
          <w:bCs w:val="0"/>
          <w:lang w:val="en-US" w:eastAsia="zh-CN"/>
        </w:rPr>
        <w:t xml:space="preserve">4.4.1 </w:t>
      </w:r>
      <w:r>
        <w:rPr>
          <w:rFonts w:hint="eastAsia"/>
          <w:lang w:val="en-US" w:eastAsia="zh-CN"/>
        </w:rPr>
        <w:t>节材与材料资源利用保证措施</w:t>
      </w:r>
      <w:r>
        <w:tab/>
      </w:r>
      <w:r>
        <w:fldChar w:fldCharType="begin"/>
      </w:r>
      <w:r>
        <w:instrText xml:space="preserve"> PAGEREF _Toc7612 \h </w:instrText>
      </w:r>
      <w:r>
        <w:fldChar w:fldCharType="separate"/>
      </w:r>
      <w:r>
        <w:t>70</w:t>
      </w:r>
      <w:r>
        <w:fldChar w:fldCharType="end"/>
      </w:r>
      <w:r>
        <w:rPr>
          <w:rFonts w:eastAsia="黑体"/>
        </w:rPr>
        <w:fldChar w:fldCharType="end"/>
      </w:r>
    </w:p>
    <w:p w14:paraId="59D1EC34">
      <w:pPr>
        <w:pStyle w:val="20"/>
        <w:tabs>
          <w:tab w:val="right" w:leader="dot" w:pos="9070"/>
          <w:tab w:val="clear" w:pos="9060"/>
        </w:tabs>
      </w:pPr>
      <w:r>
        <w:rPr>
          <w:rFonts w:eastAsia="黑体"/>
        </w:rPr>
        <w:fldChar w:fldCharType="begin"/>
      </w:r>
      <w:r>
        <w:rPr>
          <w:rFonts w:eastAsia="黑体"/>
        </w:rPr>
        <w:instrText xml:space="preserve"> HYPERLINK \l _Toc328 </w:instrText>
      </w:r>
      <w:r>
        <w:rPr>
          <w:rFonts w:eastAsia="黑体"/>
        </w:rPr>
        <w:fldChar w:fldCharType="separate"/>
      </w:r>
      <w:r>
        <w:rPr>
          <w:rFonts w:hint="default" w:ascii="宋体" w:hAnsi="宋体" w:eastAsia="宋体" w:cs="Times New Roman"/>
          <w:bCs w:val="0"/>
          <w:lang w:val="en-US" w:eastAsia="zh-CN"/>
        </w:rPr>
        <w:t xml:space="preserve">4.4.2 </w:t>
      </w:r>
      <w:r>
        <w:rPr>
          <w:rFonts w:hint="eastAsia" w:eastAsia="宋体" w:cs="Times New Roman"/>
          <w:lang w:val="en-US" w:eastAsia="zh-CN"/>
        </w:rPr>
        <w:t>施工材料节约措施</w:t>
      </w:r>
      <w:r>
        <w:tab/>
      </w:r>
      <w:r>
        <w:fldChar w:fldCharType="begin"/>
      </w:r>
      <w:r>
        <w:instrText xml:space="preserve"> PAGEREF _Toc328 \h </w:instrText>
      </w:r>
      <w:r>
        <w:fldChar w:fldCharType="separate"/>
      </w:r>
      <w:r>
        <w:t>74</w:t>
      </w:r>
      <w:r>
        <w:fldChar w:fldCharType="end"/>
      </w:r>
      <w:r>
        <w:rPr>
          <w:rFonts w:eastAsia="黑体"/>
        </w:rPr>
        <w:fldChar w:fldCharType="end"/>
      </w:r>
    </w:p>
    <w:p w14:paraId="0AF3D9B7">
      <w:pPr>
        <w:pStyle w:val="30"/>
        <w:tabs>
          <w:tab w:val="right" w:leader="dot" w:pos="9070"/>
          <w:tab w:val="clear" w:pos="9060"/>
        </w:tabs>
      </w:pPr>
      <w:r>
        <w:rPr>
          <w:rFonts w:eastAsia="黑体"/>
        </w:rPr>
        <w:fldChar w:fldCharType="begin"/>
      </w:r>
      <w:r>
        <w:rPr>
          <w:rFonts w:eastAsia="黑体"/>
        </w:rPr>
        <w:instrText xml:space="preserve"> HYPERLINK \l _Toc13503 </w:instrText>
      </w:r>
      <w:r>
        <w:rPr>
          <w:rFonts w:eastAsia="黑体"/>
        </w:rPr>
        <w:fldChar w:fldCharType="separate"/>
      </w:r>
      <w:r>
        <w:rPr>
          <w:rFonts w:hint="default" w:ascii="宋体" w:hAnsi="宋体" w:eastAsia="宋体"/>
          <w:i w:val="0"/>
          <w:szCs w:val="24"/>
        </w:rPr>
        <w:t xml:space="preserve">4.5 </w:t>
      </w:r>
      <w:r>
        <w:rPr>
          <w:rFonts w:hint="eastAsia"/>
        </w:rPr>
        <w:t>节水与水资源利用保证措施</w:t>
      </w:r>
      <w:r>
        <w:tab/>
      </w:r>
      <w:r>
        <w:fldChar w:fldCharType="begin"/>
      </w:r>
      <w:r>
        <w:instrText xml:space="preserve"> PAGEREF _Toc13503 \h </w:instrText>
      </w:r>
      <w:r>
        <w:fldChar w:fldCharType="separate"/>
      </w:r>
      <w:r>
        <w:t>75</w:t>
      </w:r>
      <w:r>
        <w:fldChar w:fldCharType="end"/>
      </w:r>
      <w:r>
        <w:rPr>
          <w:rFonts w:eastAsia="黑体"/>
        </w:rPr>
        <w:fldChar w:fldCharType="end"/>
      </w:r>
    </w:p>
    <w:p w14:paraId="495957CC">
      <w:pPr>
        <w:pStyle w:val="20"/>
        <w:tabs>
          <w:tab w:val="right" w:leader="dot" w:pos="9070"/>
          <w:tab w:val="clear" w:pos="9060"/>
        </w:tabs>
      </w:pPr>
      <w:r>
        <w:rPr>
          <w:rFonts w:eastAsia="黑体"/>
        </w:rPr>
        <w:fldChar w:fldCharType="begin"/>
      </w:r>
      <w:r>
        <w:rPr>
          <w:rFonts w:eastAsia="黑体"/>
        </w:rPr>
        <w:instrText xml:space="preserve"> HYPERLINK \l _Toc17975 </w:instrText>
      </w:r>
      <w:r>
        <w:rPr>
          <w:rFonts w:eastAsia="黑体"/>
        </w:rPr>
        <w:fldChar w:fldCharType="separate"/>
      </w:r>
      <w:r>
        <w:rPr>
          <w:rFonts w:hint="eastAsia" w:ascii="宋体" w:hAnsi="宋体" w:eastAsia="宋体"/>
          <w:bCs w:val="0"/>
        </w:rPr>
        <w:t xml:space="preserve">4.5.1 </w:t>
      </w:r>
      <w:r>
        <w:rPr>
          <w:rFonts w:hint="eastAsia"/>
        </w:rPr>
        <w:t>节水与水资源利用保证措施</w:t>
      </w:r>
      <w:r>
        <w:tab/>
      </w:r>
      <w:r>
        <w:fldChar w:fldCharType="begin"/>
      </w:r>
      <w:r>
        <w:instrText xml:space="preserve"> PAGEREF _Toc17975 \h </w:instrText>
      </w:r>
      <w:r>
        <w:fldChar w:fldCharType="separate"/>
      </w:r>
      <w:r>
        <w:t>75</w:t>
      </w:r>
      <w:r>
        <w:fldChar w:fldCharType="end"/>
      </w:r>
      <w:r>
        <w:rPr>
          <w:rFonts w:eastAsia="黑体"/>
        </w:rPr>
        <w:fldChar w:fldCharType="end"/>
      </w:r>
    </w:p>
    <w:p w14:paraId="452357FE">
      <w:pPr>
        <w:pStyle w:val="20"/>
        <w:tabs>
          <w:tab w:val="right" w:leader="dot" w:pos="9070"/>
          <w:tab w:val="clear" w:pos="9060"/>
        </w:tabs>
      </w:pPr>
      <w:r>
        <w:rPr>
          <w:rFonts w:eastAsia="黑体"/>
        </w:rPr>
        <w:fldChar w:fldCharType="begin"/>
      </w:r>
      <w:r>
        <w:rPr>
          <w:rFonts w:eastAsia="黑体"/>
        </w:rPr>
        <w:instrText xml:space="preserve"> HYPERLINK \l _Toc31656 </w:instrText>
      </w:r>
      <w:r>
        <w:rPr>
          <w:rFonts w:eastAsia="黑体"/>
        </w:rPr>
        <w:fldChar w:fldCharType="separate"/>
      </w:r>
      <w:r>
        <w:rPr>
          <w:rFonts w:hint="eastAsia" w:ascii="宋体" w:hAnsi="宋体" w:eastAsia="宋体"/>
          <w:bCs w:val="0"/>
        </w:rPr>
        <w:t xml:space="preserve">4.5.2 </w:t>
      </w:r>
      <w:r>
        <w:rPr>
          <w:rFonts w:hint="eastAsia"/>
        </w:rPr>
        <w:t>水资源利用节约措施</w:t>
      </w:r>
      <w:r>
        <w:tab/>
      </w:r>
      <w:r>
        <w:fldChar w:fldCharType="begin"/>
      </w:r>
      <w:r>
        <w:instrText xml:space="preserve"> PAGEREF _Toc31656 \h </w:instrText>
      </w:r>
      <w:r>
        <w:fldChar w:fldCharType="separate"/>
      </w:r>
      <w:r>
        <w:t>77</w:t>
      </w:r>
      <w:r>
        <w:fldChar w:fldCharType="end"/>
      </w:r>
      <w:r>
        <w:rPr>
          <w:rFonts w:eastAsia="黑体"/>
        </w:rPr>
        <w:fldChar w:fldCharType="end"/>
      </w:r>
    </w:p>
    <w:p w14:paraId="524BB0AD">
      <w:pPr>
        <w:pStyle w:val="30"/>
        <w:tabs>
          <w:tab w:val="right" w:leader="dot" w:pos="9070"/>
          <w:tab w:val="clear" w:pos="9060"/>
        </w:tabs>
      </w:pPr>
      <w:r>
        <w:rPr>
          <w:rFonts w:eastAsia="黑体"/>
        </w:rPr>
        <w:fldChar w:fldCharType="begin"/>
      </w:r>
      <w:r>
        <w:rPr>
          <w:rFonts w:eastAsia="黑体"/>
        </w:rPr>
        <w:instrText xml:space="preserve"> HYPERLINK \l _Toc5495 </w:instrText>
      </w:r>
      <w:r>
        <w:rPr>
          <w:rFonts w:eastAsia="黑体"/>
        </w:rPr>
        <w:fldChar w:fldCharType="separate"/>
      </w:r>
      <w:r>
        <w:rPr>
          <w:rFonts w:hint="default" w:ascii="宋体" w:hAnsi="宋体" w:eastAsia="宋体"/>
          <w:i w:val="0"/>
          <w:szCs w:val="24"/>
        </w:rPr>
        <w:t xml:space="preserve">4.6 </w:t>
      </w:r>
      <w:r>
        <w:rPr>
          <w:rFonts w:hint="eastAsia"/>
        </w:rPr>
        <w:t>节能与能源利用</w:t>
      </w:r>
      <w:r>
        <w:tab/>
      </w:r>
      <w:r>
        <w:fldChar w:fldCharType="begin"/>
      </w:r>
      <w:r>
        <w:instrText xml:space="preserve"> PAGEREF _Toc5495 \h </w:instrText>
      </w:r>
      <w:r>
        <w:fldChar w:fldCharType="separate"/>
      </w:r>
      <w:r>
        <w:t>78</w:t>
      </w:r>
      <w:r>
        <w:fldChar w:fldCharType="end"/>
      </w:r>
      <w:r>
        <w:rPr>
          <w:rFonts w:eastAsia="黑体"/>
        </w:rPr>
        <w:fldChar w:fldCharType="end"/>
      </w:r>
    </w:p>
    <w:p w14:paraId="33B7463C">
      <w:pPr>
        <w:pStyle w:val="20"/>
        <w:tabs>
          <w:tab w:val="right" w:leader="dot" w:pos="9070"/>
          <w:tab w:val="clear" w:pos="9060"/>
        </w:tabs>
      </w:pPr>
      <w:r>
        <w:rPr>
          <w:rFonts w:eastAsia="黑体"/>
        </w:rPr>
        <w:fldChar w:fldCharType="begin"/>
      </w:r>
      <w:r>
        <w:rPr>
          <w:rFonts w:eastAsia="黑体"/>
        </w:rPr>
        <w:instrText xml:space="preserve"> HYPERLINK \l _Toc29333 </w:instrText>
      </w:r>
      <w:r>
        <w:rPr>
          <w:rFonts w:eastAsia="黑体"/>
        </w:rPr>
        <w:fldChar w:fldCharType="separate"/>
      </w:r>
      <w:r>
        <w:rPr>
          <w:rFonts w:hint="default" w:ascii="宋体" w:hAnsi="宋体" w:eastAsia="宋体"/>
          <w:bCs w:val="0"/>
          <w:lang w:val="en-US" w:eastAsia="zh-CN"/>
        </w:rPr>
        <w:t xml:space="preserve">4.6.1 </w:t>
      </w:r>
      <w:r>
        <w:rPr>
          <w:rFonts w:hint="eastAsia"/>
        </w:rPr>
        <w:t>节能与能源利用</w:t>
      </w:r>
      <w:r>
        <w:rPr>
          <w:rFonts w:hint="eastAsia"/>
          <w:lang w:val="en-US" w:eastAsia="zh-CN"/>
        </w:rPr>
        <w:t>保证措施</w:t>
      </w:r>
      <w:r>
        <w:tab/>
      </w:r>
      <w:r>
        <w:fldChar w:fldCharType="begin"/>
      </w:r>
      <w:r>
        <w:instrText xml:space="preserve"> PAGEREF _Toc29333 \h </w:instrText>
      </w:r>
      <w:r>
        <w:fldChar w:fldCharType="separate"/>
      </w:r>
      <w:r>
        <w:t>78</w:t>
      </w:r>
      <w:r>
        <w:fldChar w:fldCharType="end"/>
      </w:r>
      <w:r>
        <w:rPr>
          <w:rFonts w:eastAsia="黑体"/>
        </w:rPr>
        <w:fldChar w:fldCharType="end"/>
      </w:r>
    </w:p>
    <w:p w14:paraId="5F01E539">
      <w:pPr>
        <w:pStyle w:val="20"/>
        <w:tabs>
          <w:tab w:val="right" w:leader="dot" w:pos="9070"/>
          <w:tab w:val="clear" w:pos="9060"/>
        </w:tabs>
      </w:pPr>
      <w:r>
        <w:rPr>
          <w:rFonts w:eastAsia="黑体"/>
        </w:rPr>
        <w:fldChar w:fldCharType="begin"/>
      </w:r>
      <w:r>
        <w:rPr>
          <w:rFonts w:eastAsia="黑体"/>
        </w:rPr>
        <w:instrText xml:space="preserve"> HYPERLINK \l _Toc4297 </w:instrText>
      </w:r>
      <w:r>
        <w:rPr>
          <w:rFonts w:eastAsia="黑体"/>
        </w:rPr>
        <w:fldChar w:fldCharType="separate"/>
      </w:r>
      <w:r>
        <w:rPr>
          <w:rFonts w:hint="eastAsia" w:ascii="宋体" w:hAnsi="宋体" w:eastAsia="宋体"/>
          <w:bCs w:val="0"/>
        </w:rPr>
        <w:t xml:space="preserve">4.6.2 </w:t>
      </w:r>
      <w:r>
        <w:rPr>
          <w:rFonts w:hint="eastAsia"/>
        </w:rPr>
        <w:t>能源节约与利用</w:t>
      </w:r>
      <w:r>
        <w:tab/>
      </w:r>
      <w:r>
        <w:fldChar w:fldCharType="begin"/>
      </w:r>
      <w:r>
        <w:instrText xml:space="preserve"> PAGEREF _Toc4297 \h </w:instrText>
      </w:r>
      <w:r>
        <w:fldChar w:fldCharType="separate"/>
      </w:r>
      <w:r>
        <w:t>81</w:t>
      </w:r>
      <w:r>
        <w:fldChar w:fldCharType="end"/>
      </w:r>
      <w:r>
        <w:rPr>
          <w:rFonts w:eastAsia="黑体"/>
        </w:rPr>
        <w:fldChar w:fldCharType="end"/>
      </w:r>
    </w:p>
    <w:p w14:paraId="13D88AA1">
      <w:pPr>
        <w:pStyle w:val="30"/>
        <w:tabs>
          <w:tab w:val="right" w:leader="dot" w:pos="9070"/>
          <w:tab w:val="clear" w:pos="9060"/>
        </w:tabs>
      </w:pPr>
      <w:r>
        <w:rPr>
          <w:rFonts w:eastAsia="黑体"/>
        </w:rPr>
        <w:fldChar w:fldCharType="begin"/>
      </w:r>
      <w:r>
        <w:rPr>
          <w:rFonts w:eastAsia="黑体"/>
        </w:rPr>
        <w:instrText xml:space="preserve"> HYPERLINK \l _Toc13814 </w:instrText>
      </w:r>
      <w:r>
        <w:rPr>
          <w:rFonts w:eastAsia="黑体"/>
        </w:rPr>
        <w:fldChar w:fldCharType="separate"/>
      </w:r>
      <w:r>
        <w:rPr>
          <w:rFonts w:hint="default" w:ascii="宋体" w:hAnsi="宋体" w:eastAsia="宋体"/>
          <w:i w:val="0"/>
          <w:szCs w:val="24"/>
        </w:rPr>
        <w:t xml:space="preserve">4.7 </w:t>
      </w:r>
      <w:r>
        <w:rPr>
          <w:rFonts w:hint="eastAsia"/>
        </w:rPr>
        <w:t>节地与</w:t>
      </w:r>
      <w:r>
        <w:rPr>
          <w:rFonts w:hint="eastAsia"/>
          <w:lang w:val="en-US" w:eastAsia="zh-CN"/>
        </w:rPr>
        <w:t>施工用地</w:t>
      </w:r>
      <w:r>
        <w:rPr>
          <w:rFonts w:hint="eastAsia"/>
        </w:rPr>
        <w:t>保护</w:t>
      </w:r>
      <w:r>
        <w:tab/>
      </w:r>
      <w:r>
        <w:fldChar w:fldCharType="begin"/>
      </w:r>
      <w:r>
        <w:instrText xml:space="preserve"> PAGEREF _Toc13814 \h </w:instrText>
      </w:r>
      <w:r>
        <w:fldChar w:fldCharType="separate"/>
      </w:r>
      <w:r>
        <w:t>82</w:t>
      </w:r>
      <w:r>
        <w:fldChar w:fldCharType="end"/>
      </w:r>
      <w:r>
        <w:rPr>
          <w:rFonts w:eastAsia="黑体"/>
        </w:rPr>
        <w:fldChar w:fldCharType="end"/>
      </w:r>
    </w:p>
    <w:p w14:paraId="70C44ABF">
      <w:pPr>
        <w:pStyle w:val="20"/>
        <w:tabs>
          <w:tab w:val="right" w:leader="dot" w:pos="9070"/>
          <w:tab w:val="clear" w:pos="9060"/>
        </w:tabs>
      </w:pPr>
      <w:r>
        <w:rPr>
          <w:rFonts w:eastAsia="黑体"/>
        </w:rPr>
        <w:fldChar w:fldCharType="begin"/>
      </w:r>
      <w:r>
        <w:rPr>
          <w:rFonts w:eastAsia="黑体"/>
        </w:rPr>
        <w:instrText xml:space="preserve"> HYPERLINK \l _Toc9671 </w:instrText>
      </w:r>
      <w:r>
        <w:rPr>
          <w:rFonts w:eastAsia="黑体"/>
        </w:rPr>
        <w:fldChar w:fldCharType="separate"/>
      </w:r>
      <w:r>
        <w:rPr>
          <w:rFonts w:hint="eastAsia" w:ascii="宋体" w:hAnsi="宋体" w:eastAsia="宋体"/>
          <w:bCs w:val="0"/>
        </w:rPr>
        <w:t xml:space="preserve">4.7.1 </w:t>
      </w:r>
      <w:r>
        <w:rPr>
          <w:rFonts w:hint="eastAsia"/>
        </w:rPr>
        <w:t>节地与</w:t>
      </w:r>
      <w:r>
        <w:rPr>
          <w:rFonts w:hint="eastAsia"/>
          <w:lang w:val="en-US" w:eastAsia="zh-CN"/>
        </w:rPr>
        <w:t>施工用地</w:t>
      </w:r>
      <w:r>
        <w:rPr>
          <w:rFonts w:hint="eastAsia"/>
        </w:rPr>
        <w:t>保护</w:t>
      </w:r>
      <w:r>
        <w:rPr>
          <w:rFonts w:hint="eastAsia"/>
          <w:lang w:val="en-US" w:eastAsia="zh-CN"/>
        </w:rPr>
        <w:t>保证措施</w:t>
      </w:r>
      <w:r>
        <w:tab/>
      </w:r>
      <w:r>
        <w:fldChar w:fldCharType="begin"/>
      </w:r>
      <w:r>
        <w:instrText xml:space="preserve"> PAGEREF _Toc9671 \h </w:instrText>
      </w:r>
      <w:r>
        <w:fldChar w:fldCharType="separate"/>
      </w:r>
      <w:r>
        <w:t>82</w:t>
      </w:r>
      <w:r>
        <w:fldChar w:fldCharType="end"/>
      </w:r>
      <w:r>
        <w:rPr>
          <w:rFonts w:eastAsia="黑体"/>
        </w:rPr>
        <w:fldChar w:fldCharType="end"/>
      </w:r>
    </w:p>
    <w:p w14:paraId="6CEE3A02">
      <w:pPr>
        <w:pStyle w:val="20"/>
        <w:tabs>
          <w:tab w:val="right" w:leader="dot" w:pos="9070"/>
          <w:tab w:val="clear" w:pos="9060"/>
        </w:tabs>
      </w:pPr>
      <w:r>
        <w:rPr>
          <w:rFonts w:eastAsia="黑体"/>
        </w:rPr>
        <w:fldChar w:fldCharType="begin"/>
      </w:r>
      <w:r>
        <w:rPr>
          <w:rFonts w:eastAsia="黑体"/>
        </w:rPr>
        <w:instrText xml:space="preserve"> HYPERLINK \l _Toc23611 </w:instrText>
      </w:r>
      <w:r>
        <w:rPr>
          <w:rFonts w:eastAsia="黑体"/>
        </w:rPr>
        <w:fldChar w:fldCharType="separate"/>
      </w:r>
      <w:r>
        <w:rPr>
          <w:rFonts w:ascii="宋体" w:hAnsi="宋体" w:eastAsia="宋体"/>
          <w:bCs w:val="0"/>
        </w:rPr>
        <w:t xml:space="preserve">4.7.2 </w:t>
      </w:r>
      <w:r>
        <w:rPr>
          <w:rFonts w:hint="eastAsia" w:ascii="宋体" w:hAnsi="宋体"/>
          <w:bCs w:val="0"/>
        </w:rPr>
        <w:t>节地与施工用地保护</w:t>
      </w:r>
      <w:r>
        <w:tab/>
      </w:r>
      <w:r>
        <w:fldChar w:fldCharType="begin"/>
      </w:r>
      <w:r>
        <w:instrText xml:space="preserve"> PAGEREF _Toc23611 \h </w:instrText>
      </w:r>
      <w:r>
        <w:fldChar w:fldCharType="separate"/>
      </w:r>
      <w:r>
        <w:t>85</w:t>
      </w:r>
      <w:r>
        <w:fldChar w:fldCharType="end"/>
      </w:r>
      <w:r>
        <w:rPr>
          <w:rFonts w:eastAsia="黑体"/>
        </w:rPr>
        <w:fldChar w:fldCharType="end"/>
      </w:r>
    </w:p>
    <w:p w14:paraId="6A9272AF">
      <w:pPr>
        <w:pStyle w:val="27"/>
        <w:tabs>
          <w:tab w:val="right" w:leader="dot" w:pos="9070"/>
          <w:tab w:val="clear" w:pos="9060"/>
        </w:tabs>
      </w:pPr>
      <w:r>
        <w:rPr>
          <w:rFonts w:eastAsia="黑体"/>
        </w:rPr>
        <w:fldChar w:fldCharType="begin"/>
      </w:r>
      <w:r>
        <w:rPr>
          <w:rFonts w:eastAsia="黑体"/>
        </w:rPr>
        <w:instrText xml:space="preserve"> HYPERLINK \l _Toc31575 </w:instrText>
      </w:r>
      <w:r>
        <w:rPr>
          <w:rFonts w:eastAsia="黑体"/>
        </w:rPr>
        <w:fldChar w:fldCharType="separate"/>
      </w:r>
      <w:r>
        <w:rPr>
          <w:rFonts w:hint="default" w:ascii="Arial" w:hAnsi="Arial" w:eastAsia="宋体"/>
          <w:i w:val="0"/>
          <w:kern w:val="2"/>
        </w:rPr>
        <w:t xml:space="preserve">第5章 </w:t>
      </w:r>
      <w:r>
        <w:rPr>
          <w:rFonts w:hint="eastAsia"/>
        </w:rPr>
        <w:t>人力资源节约与职业健康安全措施</w:t>
      </w:r>
      <w:r>
        <w:tab/>
      </w:r>
      <w:r>
        <w:fldChar w:fldCharType="begin"/>
      </w:r>
      <w:r>
        <w:instrText xml:space="preserve"> PAGEREF _Toc31575 \h </w:instrText>
      </w:r>
      <w:r>
        <w:fldChar w:fldCharType="separate"/>
      </w:r>
      <w:r>
        <w:t>86</w:t>
      </w:r>
      <w:r>
        <w:fldChar w:fldCharType="end"/>
      </w:r>
      <w:r>
        <w:rPr>
          <w:rFonts w:eastAsia="黑体"/>
        </w:rPr>
        <w:fldChar w:fldCharType="end"/>
      </w:r>
    </w:p>
    <w:p w14:paraId="7704120D">
      <w:pPr>
        <w:pStyle w:val="30"/>
        <w:tabs>
          <w:tab w:val="right" w:leader="dot" w:pos="9070"/>
          <w:tab w:val="clear" w:pos="9060"/>
        </w:tabs>
      </w:pPr>
      <w:r>
        <w:rPr>
          <w:rFonts w:eastAsia="黑体"/>
        </w:rPr>
        <w:fldChar w:fldCharType="begin"/>
      </w:r>
      <w:r>
        <w:rPr>
          <w:rFonts w:eastAsia="黑体"/>
        </w:rPr>
        <w:instrText xml:space="preserve"> HYPERLINK \l _Toc6661 </w:instrText>
      </w:r>
      <w:r>
        <w:rPr>
          <w:rFonts w:eastAsia="黑体"/>
        </w:rPr>
        <w:fldChar w:fldCharType="separate"/>
      </w:r>
      <w:r>
        <w:rPr>
          <w:rFonts w:hint="default" w:ascii="宋体" w:hAnsi="宋体" w:eastAsia="宋体"/>
          <w:i w:val="0"/>
          <w:szCs w:val="24"/>
        </w:rPr>
        <w:t xml:space="preserve">5.1 </w:t>
      </w:r>
      <w:r>
        <w:rPr>
          <w:rFonts w:hint="eastAsia"/>
        </w:rPr>
        <w:t>人力资源节约措施</w:t>
      </w:r>
      <w:r>
        <w:tab/>
      </w:r>
      <w:r>
        <w:fldChar w:fldCharType="begin"/>
      </w:r>
      <w:r>
        <w:instrText xml:space="preserve"> PAGEREF _Toc6661 \h </w:instrText>
      </w:r>
      <w:r>
        <w:fldChar w:fldCharType="separate"/>
      </w:r>
      <w:r>
        <w:t>86</w:t>
      </w:r>
      <w:r>
        <w:fldChar w:fldCharType="end"/>
      </w:r>
      <w:r>
        <w:rPr>
          <w:rFonts w:eastAsia="黑体"/>
        </w:rPr>
        <w:fldChar w:fldCharType="end"/>
      </w:r>
    </w:p>
    <w:p w14:paraId="485A51E1">
      <w:pPr>
        <w:pStyle w:val="30"/>
        <w:tabs>
          <w:tab w:val="right" w:leader="dot" w:pos="9070"/>
          <w:tab w:val="clear" w:pos="9060"/>
        </w:tabs>
      </w:pPr>
      <w:r>
        <w:rPr>
          <w:rFonts w:eastAsia="黑体"/>
        </w:rPr>
        <w:fldChar w:fldCharType="begin"/>
      </w:r>
      <w:r>
        <w:rPr>
          <w:rFonts w:eastAsia="黑体"/>
        </w:rPr>
        <w:instrText xml:space="preserve"> HYPERLINK \l _Toc16294 </w:instrText>
      </w:r>
      <w:r>
        <w:rPr>
          <w:rFonts w:eastAsia="黑体"/>
        </w:rPr>
        <w:fldChar w:fldCharType="separate"/>
      </w:r>
      <w:r>
        <w:rPr>
          <w:rFonts w:hint="default" w:ascii="宋体" w:hAnsi="宋体" w:eastAsia="宋体"/>
          <w:i w:val="0"/>
          <w:szCs w:val="24"/>
          <w:lang w:val="zh-CN"/>
        </w:rPr>
        <w:t xml:space="preserve">5.2 </w:t>
      </w:r>
      <w:r>
        <w:rPr>
          <w:rFonts w:hint="eastAsia"/>
          <w:lang w:val="zh-CN"/>
        </w:rPr>
        <w:t>职业健康安全措施</w:t>
      </w:r>
      <w:r>
        <w:tab/>
      </w:r>
      <w:r>
        <w:fldChar w:fldCharType="begin"/>
      </w:r>
      <w:r>
        <w:instrText xml:space="preserve"> PAGEREF _Toc16294 \h </w:instrText>
      </w:r>
      <w:r>
        <w:fldChar w:fldCharType="separate"/>
      </w:r>
      <w:r>
        <w:t>86</w:t>
      </w:r>
      <w:r>
        <w:fldChar w:fldCharType="end"/>
      </w:r>
      <w:r>
        <w:rPr>
          <w:rFonts w:eastAsia="黑体"/>
        </w:rPr>
        <w:fldChar w:fldCharType="end"/>
      </w:r>
    </w:p>
    <w:p w14:paraId="3DB3D955">
      <w:pPr>
        <w:pStyle w:val="27"/>
        <w:tabs>
          <w:tab w:val="right" w:leader="dot" w:pos="9070"/>
          <w:tab w:val="clear" w:pos="9060"/>
        </w:tabs>
      </w:pPr>
      <w:r>
        <w:rPr>
          <w:rFonts w:eastAsia="黑体"/>
        </w:rPr>
        <w:fldChar w:fldCharType="begin"/>
      </w:r>
      <w:r>
        <w:rPr>
          <w:rFonts w:eastAsia="黑体"/>
        </w:rPr>
        <w:instrText xml:space="preserve"> HYPERLINK \l _Toc10419 </w:instrText>
      </w:r>
      <w:r>
        <w:rPr>
          <w:rFonts w:eastAsia="黑体"/>
        </w:rPr>
        <w:fldChar w:fldCharType="separate"/>
      </w:r>
      <w:r>
        <w:rPr>
          <w:rFonts w:hint="default" w:ascii="Arial" w:hAnsi="Arial" w:eastAsia="宋体"/>
          <w:i w:val="0"/>
          <w:kern w:val="2"/>
        </w:rPr>
        <w:t xml:space="preserve">第6章 </w:t>
      </w:r>
      <w:r>
        <w:rPr>
          <w:rFonts w:hint="eastAsia"/>
        </w:rPr>
        <w:t>绿色建筑</w:t>
      </w:r>
      <w:r>
        <w:rPr>
          <w:rFonts w:hint="eastAsia"/>
          <w:lang w:val="en-US" w:eastAsia="zh-CN"/>
        </w:rPr>
        <w:t>评价</w:t>
      </w:r>
      <w:r>
        <w:tab/>
      </w:r>
      <w:r>
        <w:fldChar w:fldCharType="begin"/>
      </w:r>
      <w:r>
        <w:instrText xml:space="preserve"> PAGEREF _Toc10419 \h </w:instrText>
      </w:r>
      <w:r>
        <w:fldChar w:fldCharType="separate"/>
      </w:r>
      <w:r>
        <w:t>87</w:t>
      </w:r>
      <w:r>
        <w:fldChar w:fldCharType="end"/>
      </w:r>
      <w:r>
        <w:rPr>
          <w:rFonts w:eastAsia="黑体"/>
        </w:rPr>
        <w:fldChar w:fldCharType="end"/>
      </w:r>
    </w:p>
    <w:p w14:paraId="67E82F95">
      <w:pPr>
        <w:pStyle w:val="30"/>
        <w:tabs>
          <w:tab w:val="right" w:leader="dot" w:pos="9070"/>
          <w:tab w:val="clear" w:pos="9060"/>
        </w:tabs>
      </w:pPr>
      <w:r>
        <w:rPr>
          <w:rFonts w:eastAsia="黑体"/>
        </w:rPr>
        <w:fldChar w:fldCharType="begin"/>
      </w:r>
      <w:r>
        <w:rPr>
          <w:rFonts w:eastAsia="黑体"/>
        </w:rPr>
        <w:instrText xml:space="preserve"> HYPERLINK \l _Toc751 </w:instrText>
      </w:r>
      <w:r>
        <w:rPr>
          <w:rFonts w:eastAsia="黑体"/>
        </w:rPr>
        <w:fldChar w:fldCharType="separate"/>
      </w:r>
      <w:r>
        <w:rPr>
          <w:rFonts w:hint="default" w:ascii="宋体" w:hAnsi="宋体" w:eastAsia="宋体"/>
          <w:i w:val="0"/>
          <w:szCs w:val="24"/>
        </w:rPr>
        <w:t xml:space="preserve">6.1 </w:t>
      </w:r>
      <w:r>
        <w:rPr>
          <w:rFonts w:hint="eastAsia"/>
          <w:lang w:val="en-US" w:eastAsia="zh-CN"/>
        </w:rPr>
        <w:t>绿色施工评价管理</w:t>
      </w:r>
      <w:r>
        <w:tab/>
      </w:r>
      <w:r>
        <w:fldChar w:fldCharType="begin"/>
      </w:r>
      <w:r>
        <w:instrText xml:space="preserve"> PAGEREF _Toc751 \h </w:instrText>
      </w:r>
      <w:r>
        <w:fldChar w:fldCharType="separate"/>
      </w:r>
      <w:r>
        <w:t>87</w:t>
      </w:r>
      <w:r>
        <w:fldChar w:fldCharType="end"/>
      </w:r>
      <w:r>
        <w:rPr>
          <w:rFonts w:eastAsia="黑体"/>
        </w:rPr>
        <w:fldChar w:fldCharType="end"/>
      </w:r>
    </w:p>
    <w:p w14:paraId="0695F28E">
      <w:pPr>
        <w:pStyle w:val="30"/>
        <w:tabs>
          <w:tab w:val="right" w:leader="dot" w:pos="9070"/>
          <w:tab w:val="clear" w:pos="9060"/>
        </w:tabs>
      </w:pPr>
      <w:r>
        <w:rPr>
          <w:rFonts w:eastAsia="黑体"/>
        </w:rPr>
        <w:fldChar w:fldCharType="begin"/>
      </w:r>
      <w:r>
        <w:rPr>
          <w:rFonts w:eastAsia="黑体"/>
        </w:rPr>
        <w:instrText xml:space="preserve"> HYPERLINK \l _Toc2690 </w:instrText>
      </w:r>
      <w:r>
        <w:rPr>
          <w:rFonts w:eastAsia="黑体"/>
        </w:rPr>
        <w:fldChar w:fldCharType="separate"/>
      </w:r>
      <w:r>
        <w:rPr>
          <w:rFonts w:hint="default" w:ascii="宋体" w:hAnsi="宋体" w:eastAsia="宋体"/>
          <w:i w:val="0"/>
          <w:szCs w:val="24"/>
        </w:rPr>
        <w:t xml:space="preserve">6.2 </w:t>
      </w:r>
      <w:r>
        <w:rPr>
          <w:rFonts w:hint="eastAsia"/>
          <w:lang w:val="en-US" w:eastAsia="zh-CN"/>
        </w:rPr>
        <w:t>绿色建筑评价管理</w:t>
      </w:r>
      <w:r>
        <w:tab/>
      </w:r>
      <w:r>
        <w:fldChar w:fldCharType="begin"/>
      </w:r>
      <w:r>
        <w:instrText xml:space="preserve"> PAGEREF _Toc2690 \h </w:instrText>
      </w:r>
      <w:r>
        <w:fldChar w:fldCharType="separate"/>
      </w:r>
      <w:r>
        <w:t>87</w:t>
      </w:r>
      <w:r>
        <w:fldChar w:fldCharType="end"/>
      </w:r>
      <w:r>
        <w:rPr>
          <w:rFonts w:eastAsia="黑体"/>
        </w:rPr>
        <w:fldChar w:fldCharType="end"/>
      </w:r>
    </w:p>
    <w:p w14:paraId="2B2FC471">
      <w:pPr>
        <w:pStyle w:val="20"/>
        <w:tabs>
          <w:tab w:val="right" w:leader="dot" w:pos="9070"/>
          <w:tab w:val="clear" w:pos="9060"/>
        </w:tabs>
      </w:pPr>
      <w:r>
        <w:rPr>
          <w:rFonts w:eastAsia="黑体"/>
        </w:rPr>
        <w:fldChar w:fldCharType="begin"/>
      </w:r>
      <w:r>
        <w:rPr>
          <w:rFonts w:eastAsia="黑体"/>
        </w:rPr>
        <w:instrText xml:space="preserve"> HYPERLINK \l _Toc28067 </w:instrText>
      </w:r>
      <w:r>
        <w:rPr>
          <w:rFonts w:eastAsia="黑体"/>
        </w:rPr>
        <w:fldChar w:fldCharType="separate"/>
      </w:r>
      <w:r>
        <w:rPr>
          <w:rFonts w:ascii="宋体" w:hAnsi="宋体" w:eastAsia="宋体"/>
          <w:bCs w:val="0"/>
        </w:rPr>
        <w:t xml:space="preserve">6.2.1 </w:t>
      </w:r>
      <w:r>
        <w:rPr>
          <w:rFonts w:hint="eastAsia"/>
        </w:rPr>
        <w:t>安全耐久评分表</w:t>
      </w:r>
      <w:r>
        <w:tab/>
      </w:r>
      <w:r>
        <w:fldChar w:fldCharType="begin"/>
      </w:r>
      <w:r>
        <w:instrText xml:space="preserve"> PAGEREF _Toc28067 \h </w:instrText>
      </w:r>
      <w:r>
        <w:fldChar w:fldCharType="separate"/>
      </w:r>
      <w:r>
        <w:t>87</w:t>
      </w:r>
      <w:r>
        <w:fldChar w:fldCharType="end"/>
      </w:r>
      <w:r>
        <w:rPr>
          <w:rFonts w:eastAsia="黑体"/>
        </w:rPr>
        <w:fldChar w:fldCharType="end"/>
      </w:r>
    </w:p>
    <w:p w14:paraId="1C27E499">
      <w:pPr>
        <w:pStyle w:val="20"/>
        <w:tabs>
          <w:tab w:val="right" w:leader="dot" w:pos="9070"/>
          <w:tab w:val="clear" w:pos="9060"/>
        </w:tabs>
      </w:pPr>
      <w:r>
        <w:rPr>
          <w:rFonts w:eastAsia="黑体"/>
        </w:rPr>
        <w:fldChar w:fldCharType="begin"/>
      </w:r>
      <w:r>
        <w:rPr>
          <w:rFonts w:eastAsia="黑体"/>
        </w:rPr>
        <w:instrText xml:space="preserve"> HYPERLINK \l _Toc24738 </w:instrText>
      </w:r>
      <w:r>
        <w:rPr>
          <w:rFonts w:eastAsia="黑体"/>
        </w:rPr>
        <w:fldChar w:fldCharType="separate"/>
      </w:r>
      <w:r>
        <w:rPr>
          <w:rFonts w:ascii="宋体" w:hAnsi="宋体" w:eastAsia="宋体"/>
          <w:bCs w:val="0"/>
        </w:rPr>
        <w:t xml:space="preserve">6.2.2 </w:t>
      </w:r>
      <w:r>
        <w:rPr>
          <w:rFonts w:hint="eastAsia"/>
        </w:rPr>
        <w:t>控制项</w:t>
      </w:r>
      <w:r>
        <w:tab/>
      </w:r>
      <w:r>
        <w:fldChar w:fldCharType="begin"/>
      </w:r>
      <w:r>
        <w:instrText xml:space="preserve"> PAGEREF _Toc24738 \h </w:instrText>
      </w:r>
      <w:r>
        <w:fldChar w:fldCharType="separate"/>
      </w:r>
      <w:r>
        <w:t>88</w:t>
      </w:r>
      <w:r>
        <w:fldChar w:fldCharType="end"/>
      </w:r>
      <w:r>
        <w:rPr>
          <w:rFonts w:eastAsia="黑体"/>
        </w:rPr>
        <w:fldChar w:fldCharType="end"/>
      </w:r>
    </w:p>
    <w:p w14:paraId="12BD5DDC">
      <w:pPr>
        <w:pStyle w:val="27"/>
        <w:tabs>
          <w:tab w:val="right" w:leader="dot" w:pos="9070"/>
          <w:tab w:val="clear" w:pos="9060"/>
        </w:tabs>
        <w:rPr>
          <w:rFonts w:eastAsia="黑体"/>
        </w:rPr>
      </w:pPr>
      <w:r>
        <w:rPr>
          <w:rFonts w:eastAsia="黑体"/>
        </w:rPr>
        <w:fldChar w:fldCharType="begin"/>
      </w:r>
      <w:r>
        <w:rPr>
          <w:rFonts w:eastAsia="黑体"/>
        </w:rPr>
        <w:instrText xml:space="preserve"> HYPERLINK \l _Toc21677 </w:instrText>
      </w:r>
      <w:r>
        <w:rPr>
          <w:rFonts w:eastAsia="黑体"/>
        </w:rPr>
        <w:fldChar w:fldCharType="separate"/>
      </w:r>
      <w:r>
        <w:rPr>
          <w:rFonts w:hint="default" w:ascii="Arial" w:hAnsi="Arial" w:eastAsia="宋体"/>
          <w:i w:val="0"/>
          <w:kern w:val="2"/>
        </w:rPr>
        <w:t xml:space="preserve">第7章 </w:t>
      </w:r>
      <w:r>
        <w:rPr>
          <w:rFonts w:hint="eastAsia"/>
        </w:rPr>
        <w:t>技术创新与应用</w:t>
      </w:r>
      <w:r>
        <w:tab/>
      </w:r>
      <w:r>
        <w:fldChar w:fldCharType="begin"/>
      </w:r>
      <w:r>
        <w:instrText xml:space="preserve"> PAGEREF _Toc21677 \h </w:instrText>
      </w:r>
      <w:r>
        <w:fldChar w:fldCharType="separate"/>
      </w:r>
      <w:r>
        <w:t>96</w:t>
      </w:r>
      <w:r>
        <w:fldChar w:fldCharType="end"/>
      </w:r>
      <w:r>
        <w:rPr>
          <w:rFonts w:eastAsia="黑体"/>
        </w:rPr>
        <w:fldChar w:fldCharType="end"/>
      </w:r>
    </w:p>
    <w:p w14:paraId="3091DD65">
      <w:pPr>
        <w:rPr>
          <w:rFonts w:eastAsia="黑体"/>
        </w:rPr>
      </w:pPr>
      <w:r>
        <w:rPr>
          <w:rFonts w:eastAsia="黑体"/>
        </w:rPr>
        <w:br w:type="page"/>
      </w:r>
    </w:p>
    <w:p w14:paraId="2287E931"/>
    <w:p w14:paraId="68BC8016">
      <w:pPr>
        <w:ind w:firstLine="480"/>
        <w:rPr>
          <w:rFonts w:eastAsia="黑体"/>
        </w:rPr>
      </w:pPr>
      <w:r>
        <w:rPr>
          <w:rFonts w:eastAsia="黑体"/>
        </w:rPr>
        <w:fldChar w:fldCharType="end"/>
      </w:r>
    </w:p>
    <w:p w14:paraId="1F97D8BC">
      <w:pPr>
        <w:ind w:firstLine="480"/>
        <w:rPr>
          <w:rFonts w:eastAsia="黑体"/>
          <w:color w:val="FF0000"/>
          <w:sz w:val="30"/>
        </w:rPr>
        <w:sectPr>
          <w:headerReference r:id="rId13" w:type="first"/>
          <w:footerReference r:id="rId16" w:type="first"/>
          <w:headerReference r:id="rId11" w:type="default"/>
          <w:footerReference r:id="rId14" w:type="default"/>
          <w:headerReference r:id="rId12" w:type="even"/>
          <w:footerReference r:id="rId15" w:type="even"/>
          <w:pgSz w:w="11906" w:h="16838"/>
          <w:pgMar w:top="1418" w:right="1418" w:bottom="1418" w:left="1418" w:header="851" w:footer="992" w:gutter="0"/>
          <w:pgNumType w:fmt="upperRoman" w:start="1"/>
          <w:cols w:space="720" w:num="1"/>
          <w:docGrid w:type="lines" w:linePitch="312" w:charSpace="0"/>
        </w:sectPr>
      </w:pPr>
      <w:r>
        <w:rPr>
          <w:rFonts w:eastAsia="黑体"/>
        </w:rPr>
        <w:br w:type="page"/>
      </w:r>
    </w:p>
    <w:p w14:paraId="293360AC">
      <w:pPr>
        <w:pStyle w:val="3"/>
        <w:rPr>
          <w:color w:val="auto"/>
        </w:rPr>
      </w:pPr>
      <w:bookmarkStart w:id="2" w:name="_Toc27953"/>
      <w:r>
        <w:rPr>
          <w:rFonts w:hint="eastAsia"/>
          <w:color w:val="auto"/>
        </w:rPr>
        <w:t>编制说明</w:t>
      </w:r>
      <w:bookmarkEnd w:id="2"/>
    </w:p>
    <w:p w14:paraId="67CFCDA9">
      <w:pPr>
        <w:pStyle w:val="4"/>
        <w:rPr>
          <w:rFonts w:hint="eastAsia"/>
          <w:color w:val="auto"/>
        </w:rPr>
      </w:pPr>
      <w:bookmarkStart w:id="3" w:name="_Toc44"/>
      <w:r>
        <w:rPr>
          <w:rFonts w:hint="eastAsia"/>
          <w:color w:val="auto"/>
        </w:rPr>
        <w:t>编制说明</w:t>
      </w:r>
      <w:bookmarkEnd w:id="3"/>
    </w:p>
    <w:p w14:paraId="731163E2">
      <w:pPr>
        <w:ind w:firstLine="480"/>
        <w:rPr>
          <w:rFonts w:hint="eastAsia" w:ascii="宋体" w:hAnsi="宋体"/>
          <w:color w:val="auto"/>
        </w:rPr>
      </w:pPr>
      <w:r>
        <w:rPr>
          <w:rFonts w:hint="eastAsia" w:ascii="宋体" w:hAnsi="宋体"/>
          <w:color w:val="auto"/>
        </w:rPr>
        <w:t>《三亚崖州湾科教城公共教学区（一期）项目绿色建筑施工方案》是根据施工合同文件以及设计施工图纸，根据绿色施工要求，结合本工程施工组织设计和现场实际条件，并在充分理解的基础上进行编制的。本施工方案作为工程绿色环境管理的依据，编制时对施工部署、主要技术方案及措施、工程质量及施工安全保证体系、工程项目组织管理机构情况、施工现场平面布置、施工总进度计划控制等诸多因素进行充分考虑，突出其可行性、科学性。</w:t>
      </w:r>
    </w:p>
    <w:p w14:paraId="1A13FBC8">
      <w:pPr>
        <w:pStyle w:val="4"/>
        <w:rPr>
          <w:rFonts w:hint="eastAsia"/>
          <w:color w:val="auto"/>
        </w:rPr>
      </w:pPr>
      <w:bookmarkStart w:id="4" w:name="_Toc2099"/>
      <w:r>
        <w:rPr>
          <w:rFonts w:hint="eastAsia"/>
          <w:color w:val="auto"/>
        </w:rPr>
        <w:t>编制依据</w:t>
      </w:r>
      <w:bookmarkEnd w:id="4"/>
    </w:p>
    <w:p w14:paraId="22AFD0D9">
      <w:pPr>
        <w:ind w:firstLine="480"/>
        <w:rPr>
          <w:rFonts w:hint="eastAsia" w:ascii="宋体" w:hAnsi="宋体"/>
          <w:color w:val="auto"/>
        </w:rPr>
      </w:pPr>
      <w:r>
        <w:rPr>
          <w:rFonts w:ascii="宋体" w:hAnsi="宋体"/>
          <w:color w:val="auto"/>
        </w:rPr>
        <w:t>1</w:t>
      </w:r>
      <w:r>
        <w:rPr>
          <w:rFonts w:hint="eastAsia" w:ascii="宋体" w:hAnsi="宋体"/>
          <w:color w:val="auto"/>
        </w:rPr>
        <w:t>、《海南省绿色建筑评价标准》DBJ46-024-2012</w:t>
      </w:r>
    </w:p>
    <w:p w14:paraId="70054C3A">
      <w:pPr>
        <w:ind w:firstLine="480"/>
        <w:rPr>
          <w:rFonts w:hint="eastAsia" w:ascii="宋体" w:hAnsi="宋体"/>
          <w:color w:val="auto"/>
        </w:rPr>
      </w:pPr>
      <w:r>
        <w:rPr>
          <w:rFonts w:ascii="宋体" w:hAnsi="宋体"/>
          <w:color w:val="auto"/>
        </w:rPr>
        <w:t>2</w:t>
      </w:r>
      <w:r>
        <w:rPr>
          <w:rFonts w:hint="eastAsia" w:ascii="宋体" w:hAnsi="宋体"/>
          <w:color w:val="auto"/>
        </w:rPr>
        <w:t>、《绿色建筑评价标准》GB/T50378-2019;</w:t>
      </w:r>
    </w:p>
    <w:p w14:paraId="174C57C7">
      <w:pPr>
        <w:ind w:firstLine="480"/>
        <w:rPr>
          <w:rFonts w:hint="eastAsia" w:ascii="宋体" w:hAnsi="宋体"/>
          <w:color w:val="auto"/>
        </w:rPr>
      </w:pPr>
      <w:r>
        <w:rPr>
          <w:rFonts w:ascii="宋体" w:hAnsi="宋体"/>
          <w:color w:val="auto"/>
        </w:rPr>
        <w:t>3</w:t>
      </w:r>
      <w:r>
        <w:rPr>
          <w:rFonts w:hint="eastAsia" w:ascii="宋体" w:hAnsi="宋体"/>
          <w:color w:val="auto"/>
        </w:rPr>
        <w:t>、《建筑工程绿色施工评价标准》GB/T50640-2010</w:t>
      </w:r>
    </w:p>
    <w:p w14:paraId="1C77A296">
      <w:pPr>
        <w:ind w:firstLine="480"/>
        <w:rPr>
          <w:rFonts w:hint="eastAsia" w:ascii="宋体" w:hAnsi="宋体"/>
          <w:color w:val="auto"/>
        </w:rPr>
      </w:pPr>
      <w:r>
        <w:rPr>
          <w:rFonts w:ascii="宋体" w:hAnsi="宋体"/>
          <w:color w:val="auto"/>
        </w:rPr>
        <w:t>4</w:t>
      </w:r>
      <w:r>
        <w:rPr>
          <w:rFonts w:hint="eastAsia" w:ascii="宋体" w:hAnsi="宋体"/>
          <w:color w:val="auto"/>
        </w:rPr>
        <w:t>、《建筑工程绿色施工规范》GB/T50905-2014:</w:t>
      </w:r>
    </w:p>
    <w:p w14:paraId="6AA6F32B">
      <w:pPr>
        <w:ind w:firstLine="480"/>
        <w:rPr>
          <w:rFonts w:hint="eastAsia" w:ascii="宋体" w:hAnsi="宋体"/>
          <w:color w:val="auto"/>
        </w:rPr>
      </w:pPr>
      <w:r>
        <w:rPr>
          <w:rFonts w:ascii="宋体" w:hAnsi="宋体"/>
          <w:color w:val="auto"/>
        </w:rPr>
        <w:t>5</w:t>
      </w:r>
      <w:r>
        <w:rPr>
          <w:rFonts w:hint="eastAsia" w:ascii="宋体" w:hAnsi="宋体"/>
          <w:color w:val="auto"/>
        </w:rPr>
        <w:t>、《建筑工程施工质量验收统一标准》GB50300-2013;</w:t>
      </w:r>
    </w:p>
    <w:p w14:paraId="3A77AF5C">
      <w:pPr>
        <w:ind w:firstLine="480"/>
        <w:rPr>
          <w:rFonts w:hint="eastAsia" w:ascii="宋体" w:hAnsi="宋体"/>
          <w:color w:val="auto"/>
        </w:rPr>
      </w:pPr>
      <w:r>
        <w:rPr>
          <w:rFonts w:ascii="宋体" w:hAnsi="宋体"/>
          <w:color w:val="auto"/>
        </w:rPr>
        <w:t>6</w:t>
      </w:r>
      <w:r>
        <w:rPr>
          <w:rFonts w:hint="eastAsia" w:ascii="宋体" w:hAnsi="宋体"/>
          <w:color w:val="auto"/>
        </w:rPr>
        <w:t>、《建筑地基基础工程施工质量验收规范》GB50202-2018</w:t>
      </w:r>
    </w:p>
    <w:p w14:paraId="072C8D12">
      <w:pPr>
        <w:ind w:firstLine="480"/>
        <w:rPr>
          <w:rFonts w:hint="eastAsia" w:ascii="宋体" w:hAnsi="宋体"/>
          <w:color w:val="auto"/>
        </w:rPr>
      </w:pPr>
      <w:r>
        <w:rPr>
          <w:rFonts w:ascii="宋体" w:hAnsi="宋体"/>
          <w:color w:val="auto"/>
        </w:rPr>
        <w:t>7</w:t>
      </w:r>
      <w:r>
        <w:rPr>
          <w:rFonts w:hint="eastAsia" w:ascii="宋体" w:hAnsi="宋体"/>
          <w:color w:val="auto"/>
        </w:rPr>
        <w:t>、《砌体结构工程施工质量验收规范》GB50203-2011;</w:t>
      </w:r>
    </w:p>
    <w:p w14:paraId="02AFB325">
      <w:pPr>
        <w:ind w:firstLine="480"/>
        <w:rPr>
          <w:rFonts w:hint="eastAsia" w:ascii="宋体" w:hAnsi="宋体"/>
          <w:color w:val="auto"/>
        </w:rPr>
      </w:pPr>
      <w:r>
        <w:rPr>
          <w:rFonts w:ascii="宋体" w:hAnsi="宋体"/>
          <w:color w:val="auto"/>
        </w:rPr>
        <w:t>8</w:t>
      </w:r>
      <w:r>
        <w:rPr>
          <w:rFonts w:hint="eastAsia" w:ascii="宋体" w:hAnsi="宋体"/>
          <w:color w:val="auto"/>
        </w:rPr>
        <w:t>、《混凝土结构工程施工质量验收规范》GB50204-2015:</w:t>
      </w:r>
    </w:p>
    <w:p w14:paraId="4A621713">
      <w:pPr>
        <w:ind w:firstLine="480"/>
        <w:rPr>
          <w:rFonts w:hint="eastAsia" w:ascii="宋体" w:hAnsi="宋体"/>
          <w:color w:val="auto"/>
        </w:rPr>
      </w:pPr>
      <w:r>
        <w:rPr>
          <w:rFonts w:ascii="宋体" w:hAnsi="宋体"/>
          <w:color w:val="auto"/>
        </w:rPr>
        <w:t>9</w:t>
      </w:r>
      <w:r>
        <w:rPr>
          <w:rFonts w:hint="eastAsia" w:ascii="宋体" w:hAnsi="宋体"/>
          <w:color w:val="auto"/>
        </w:rPr>
        <w:t>、《民用建筑工程室内环境污染控制规范》GB50325-2020</w:t>
      </w:r>
    </w:p>
    <w:p w14:paraId="44C0C6CE">
      <w:pPr>
        <w:ind w:firstLine="480"/>
        <w:rPr>
          <w:rFonts w:hint="eastAsia" w:ascii="宋体" w:hAnsi="宋体"/>
          <w:color w:val="auto"/>
        </w:rPr>
      </w:pPr>
      <w:r>
        <w:rPr>
          <w:rFonts w:ascii="宋体" w:hAnsi="宋体"/>
          <w:color w:val="auto"/>
        </w:rPr>
        <w:t>10</w:t>
      </w:r>
      <w:r>
        <w:rPr>
          <w:rFonts w:hint="eastAsia" w:ascii="宋体" w:hAnsi="宋体"/>
          <w:color w:val="auto"/>
        </w:rPr>
        <w:t xml:space="preserve">、《建设工程施工现场环境与卫生标准》JGJ146-2013 </w:t>
      </w:r>
    </w:p>
    <w:p w14:paraId="544696D1">
      <w:pPr>
        <w:ind w:firstLine="480"/>
        <w:rPr>
          <w:rFonts w:hint="eastAsia" w:ascii="宋体" w:hAnsi="宋体"/>
          <w:color w:val="auto"/>
        </w:rPr>
      </w:pPr>
      <w:r>
        <w:rPr>
          <w:rFonts w:ascii="宋体" w:hAnsi="宋体"/>
          <w:color w:val="auto"/>
        </w:rPr>
        <w:t>11</w:t>
      </w:r>
      <w:r>
        <w:rPr>
          <w:rFonts w:hint="eastAsia" w:ascii="宋体" w:hAnsi="宋体"/>
          <w:color w:val="auto"/>
        </w:rPr>
        <w:t xml:space="preserve">、《建筑施工安全检查标准》JGJ59-2011; </w:t>
      </w:r>
    </w:p>
    <w:p w14:paraId="0AA603BC">
      <w:pPr>
        <w:ind w:firstLine="480"/>
        <w:rPr>
          <w:rFonts w:hint="eastAsia" w:ascii="宋体" w:hAnsi="宋体"/>
          <w:color w:val="auto"/>
        </w:rPr>
      </w:pPr>
      <w:r>
        <w:rPr>
          <w:rFonts w:ascii="宋体" w:hAnsi="宋体"/>
          <w:color w:val="auto"/>
        </w:rPr>
        <w:t>12</w:t>
      </w:r>
      <w:r>
        <w:rPr>
          <w:rFonts w:hint="eastAsia" w:ascii="宋体" w:hAnsi="宋体"/>
          <w:color w:val="auto"/>
        </w:rPr>
        <w:t xml:space="preserve">、《建筑施工场界噪声限值》GB12523-2011: </w:t>
      </w:r>
    </w:p>
    <w:p w14:paraId="3A8BE7D5">
      <w:pPr>
        <w:ind w:firstLine="480"/>
        <w:rPr>
          <w:rFonts w:hint="eastAsia" w:ascii="宋体" w:hAnsi="宋体"/>
          <w:color w:val="auto"/>
        </w:rPr>
      </w:pPr>
      <w:r>
        <w:rPr>
          <w:rFonts w:ascii="宋体" w:hAnsi="宋体"/>
          <w:color w:val="auto"/>
        </w:rPr>
        <w:t>13</w:t>
      </w:r>
      <w:r>
        <w:rPr>
          <w:rFonts w:hint="eastAsia" w:ascii="宋体" w:hAnsi="宋体"/>
          <w:color w:val="auto"/>
        </w:rPr>
        <w:t xml:space="preserve">、《建筑材料放射性核素限量》GB6566-2010 </w:t>
      </w:r>
    </w:p>
    <w:p w14:paraId="71CE9366">
      <w:pPr>
        <w:ind w:firstLine="480"/>
        <w:rPr>
          <w:rFonts w:hint="eastAsia" w:ascii="宋体" w:hAnsi="宋体"/>
          <w:color w:val="auto"/>
        </w:rPr>
      </w:pPr>
      <w:r>
        <w:rPr>
          <w:rFonts w:ascii="宋体" w:hAnsi="宋体"/>
          <w:color w:val="auto"/>
        </w:rPr>
        <w:t>14</w:t>
      </w:r>
      <w:r>
        <w:rPr>
          <w:rFonts w:hint="eastAsia" w:ascii="宋体" w:hAnsi="宋体"/>
          <w:color w:val="auto"/>
        </w:rPr>
        <w:t xml:space="preserve">、《施工现场临时建筑物技术规范》JGJ/T188-2009 </w:t>
      </w:r>
    </w:p>
    <w:p w14:paraId="4AE7C428">
      <w:pPr>
        <w:ind w:firstLine="480"/>
        <w:rPr>
          <w:rFonts w:hint="eastAsia" w:ascii="宋体" w:hAnsi="宋体"/>
          <w:color w:val="auto"/>
        </w:rPr>
      </w:pPr>
      <w:r>
        <w:rPr>
          <w:rFonts w:ascii="宋体" w:hAnsi="宋体"/>
          <w:color w:val="auto"/>
        </w:rPr>
        <w:t>15</w:t>
      </w:r>
      <w:r>
        <w:rPr>
          <w:rFonts w:hint="eastAsia" w:ascii="宋体" w:hAnsi="宋体"/>
          <w:color w:val="auto"/>
        </w:rPr>
        <w:t xml:space="preserve">、《绿色施工导则》2007年; </w:t>
      </w:r>
    </w:p>
    <w:p w14:paraId="448CB801">
      <w:pPr>
        <w:ind w:firstLine="480"/>
        <w:rPr>
          <w:rFonts w:hint="eastAsia" w:ascii="宋体" w:hAnsi="宋体"/>
          <w:color w:val="auto"/>
        </w:rPr>
      </w:pPr>
      <w:r>
        <w:rPr>
          <w:rFonts w:ascii="宋体" w:hAnsi="宋体"/>
          <w:color w:val="auto"/>
        </w:rPr>
        <w:t>16</w:t>
      </w:r>
      <w:r>
        <w:rPr>
          <w:rFonts w:hint="eastAsia" w:ascii="宋体" w:hAnsi="宋体"/>
          <w:color w:val="auto"/>
        </w:rPr>
        <w:t xml:space="preserve">、《施工组织设计》、设计图纸等 </w:t>
      </w:r>
    </w:p>
    <w:p w14:paraId="6278BFA2">
      <w:pPr>
        <w:ind w:firstLine="480"/>
        <w:rPr>
          <w:rFonts w:hint="eastAsia" w:ascii="宋体" w:hAnsi="宋体"/>
          <w:color w:val="auto"/>
        </w:rPr>
      </w:pPr>
      <w:r>
        <w:rPr>
          <w:rFonts w:ascii="宋体" w:hAnsi="宋体"/>
          <w:color w:val="auto"/>
        </w:rPr>
        <w:t>17</w:t>
      </w:r>
      <w:r>
        <w:rPr>
          <w:rFonts w:hint="eastAsia" w:ascii="宋体" w:hAnsi="宋体"/>
          <w:color w:val="auto"/>
        </w:rPr>
        <w:t>、《全国建筑业绿色施工示范工程申报与验收指南》</w:t>
      </w:r>
    </w:p>
    <w:p w14:paraId="3C19F453">
      <w:pPr>
        <w:pStyle w:val="6"/>
        <w:ind w:firstLine="480"/>
        <w:rPr>
          <w:rFonts w:hint="eastAsia"/>
          <w:color w:val="auto"/>
        </w:rPr>
      </w:pPr>
    </w:p>
    <w:p w14:paraId="747FCEBC">
      <w:pPr>
        <w:pStyle w:val="3"/>
        <w:rPr>
          <w:color w:val="auto"/>
        </w:rPr>
        <w:sectPr>
          <w:headerReference r:id="rId17" w:type="default"/>
          <w:footerReference r:id="rId18" w:type="default"/>
          <w:pgSz w:w="11906" w:h="16838"/>
          <w:pgMar w:top="1418" w:right="1418" w:bottom="1418" w:left="1418" w:header="851" w:footer="992" w:gutter="0"/>
          <w:pgNumType w:start="1"/>
          <w:cols w:space="720" w:num="1"/>
          <w:docGrid w:type="lines" w:linePitch="312" w:charSpace="0"/>
        </w:sectPr>
      </w:pPr>
    </w:p>
    <w:p w14:paraId="4F48FFE9">
      <w:pPr>
        <w:pStyle w:val="3"/>
        <w:rPr>
          <w:color w:val="auto"/>
        </w:rPr>
      </w:pPr>
      <w:bookmarkStart w:id="5" w:name="_Toc4946"/>
      <w:r>
        <w:rPr>
          <w:rFonts w:hint="eastAsia"/>
          <w:color w:val="auto"/>
        </w:rPr>
        <w:t>工程概况</w:t>
      </w:r>
      <w:bookmarkEnd w:id="5"/>
    </w:p>
    <w:p w14:paraId="32B9D01E">
      <w:pPr>
        <w:pStyle w:val="4"/>
        <w:rPr>
          <w:color w:val="auto"/>
        </w:rPr>
      </w:pPr>
      <w:bookmarkStart w:id="6" w:name="_Toc18465"/>
      <w:r>
        <w:rPr>
          <w:rFonts w:hint="eastAsia"/>
          <w:color w:val="auto"/>
        </w:rPr>
        <w:t>工程建设概况</w:t>
      </w:r>
      <w:bookmarkEnd w:id="6"/>
    </w:p>
    <w:p w14:paraId="3FA14C63">
      <w:pPr>
        <w:pStyle w:val="65"/>
        <w:rPr>
          <w:rFonts w:hint="eastAsia"/>
          <w:color w:val="auto"/>
        </w:rPr>
      </w:pPr>
      <w:r>
        <w:rPr>
          <w:rFonts w:hint="eastAsia"/>
          <w:color w:val="auto"/>
        </w:rPr>
        <w:t>工程建设概况表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6"/>
        <w:gridCol w:w="2904"/>
        <w:gridCol w:w="2523"/>
        <w:gridCol w:w="2523"/>
      </w:tblGrid>
      <w:tr w14:paraId="7541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36" w:type="dxa"/>
            <w:noWrap w:val="0"/>
            <w:vAlign w:val="center"/>
          </w:tcPr>
          <w:p w14:paraId="7C6AC46F">
            <w:pPr>
              <w:spacing w:line="240" w:lineRule="auto"/>
              <w:ind w:firstLine="0" w:firstLineChars="0"/>
              <w:jc w:val="center"/>
              <w:rPr>
                <w:rFonts w:ascii="宋体" w:hAnsi="宋体"/>
                <w:color w:val="auto"/>
                <w:kern w:val="0"/>
                <w:sz w:val="21"/>
              </w:rPr>
            </w:pPr>
            <w:r>
              <w:rPr>
                <w:rFonts w:hint="eastAsia" w:ascii="宋体" w:hAnsi="宋体"/>
                <w:color w:val="auto"/>
                <w:kern w:val="0"/>
                <w:sz w:val="21"/>
              </w:rPr>
              <w:t>项目名称</w:t>
            </w:r>
          </w:p>
        </w:tc>
        <w:tc>
          <w:tcPr>
            <w:tcW w:w="7950" w:type="dxa"/>
            <w:gridSpan w:val="3"/>
            <w:noWrap w:val="0"/>
            <w:vAlign w:val="center"/>
          </w:tcPr>
          <w:p w14:paraId="6EEF6D64">
            <w:pPr>
              <w:spacing w:line="240" w:lineRule="auto"/>
              <w:ind w:firstLine="0" w:firstLineChars="0"/>
              <w:jc w:val="center"/>
              <w:rPr>
                <w:rFonts w:ascii="宋体" w:hAnsi="宋体"/>
                <w:color w:val="auto"/>
                <w:kern w:val="0"/>
                <w:sz w:val="21"/>
              </w:rPr>
            </w:pPr>
            <w:r>
              <w:rPr>
                <w:rFonts w:hint="eastAsia" w:ascii="宋体" w:hAnsi="宋体"/>
                <w:color w:val="auto"/>
                <w:kern w:val="0"/>
                <w:sz w:val="21"/>
              </w:rPr>
              <w:t>三亚崖州湾科技城公共教学区（一期）项目设计、施工总承包（E</w:t>
            </w:r>
            <w:r>
              <w:rPr>
                <w:rFonts w:ascii="宋体" w:hAnsi="宋体"/>
                <w:color w:val="auto"/>
                <w:kern w:val="0"/>
                <w:sz w:val="21"/>
              </w:rPr>
              <w:t>PC</w:t>
            </w:r>
            <w:r>
              <w:rPr>
                <w:rFonts w:hint="eastAsia" w:ascii="宋体" w:hAnsi="宋体"/>
                <w:color w:val="auto"/>
                <w:kern w:val="0"/>
                <w:sz w:val="21"/>
              </w:rPr>
              <w:t>）</w:t>
            </w:r>
          </w:p>
        </w:tc>
      </w:tr>
      <w:tr w14:paraId="3284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noWrap w:val="0"/>
            <w:vAlign w:val="center"/>
          </w:tcPr>
          <w:p w14:paraId="6AEEFD15">
            <w:pPr>
              <w:spacing w:line="240" w:lineRule="auto"/>
              <w:ind w:firstLine="0" w:firstLineChars="0"/>
              <w:jc w:val="center"/>
              <w:rPr>
                <w:rFonts w:ascii="宋体" w:hAnsi="宋体"/>
                <w:color w:val="auto"/>
                <w:kern w:val="0"/>
                <w:sz w:val="21"/>
              </w:rPr>
            </w:pPr>
            <w:bookmarkStart w:id="7" w:name="_Hlk61447938"/>
            <w:r>
              <w:rPr>
                <w:rFonts w:hint="eastAsia" w:ascii="宋体" w:hAnsi="宋体"/>
                <w:color w:val="auto"/>
                <w:kern w:val="0"/>
                <w:sz w:val="21"/>
              </w:rPr>
              <w:t>项目地址</w:t>
            </w:r>
          </w:p>
        </w:tc>
        <w:tc>
          <w:tcPr>
            <w:tcW w:w="7950" w:type="dxa"/>
            <w:gridSpan w:val="3"/>
            <w:noWrap w:val="0"/>
            <w:vAlign w:val="center"/>
          </w:tcPr>
          <w:p w14:paraId="33433D66">
            <w:pPr>
              <w:spacing w:line="240" w:lineRule="auto"/>
              <w:ind w:firstLine="0" w:firstLineChars="0"/>
              <w:jc w:val="center"/>
              <w:rPr>
                <w:rFonts w:ascii="宋体" w:hAnsi="宋体"/>
                <w:color w:val="auto"/>
                <w:kern w:val="0"/>
                <w:sz w:val="21"/>
              </w:rPr>
            </w:pPr>
            <w:r>
              <w:rPr>
                <w:rFonts w:hint="eastAsia" w:ascii="宋体" w:hAnsi="宋体"/>
                <w:color w:val="auto"/>
                <w:kern w:val="0"/>
                <w:sz w:val="21"/>
              </w:rPr>
              <w:t>海南省三亚崖州湾科技城内</w:t>
            </w:r>
          </w:p>
        </w:tc>
      </w:tr>
      <w:tr w14:paraId="332B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noWrap w:val="0"/>
            <w:vAlign w:val="center"/>
          </w:tcPr>
          <w:p w14:paraId="248C53CB">
            <w:pPr>
              <w:spacing w:line="240" w:lineRule="auto"/>
              <w:ind w:firstLine="0" w:firstLineChars="0"/>
              <w:jc w:val="center"/>
              <w:rPr>
                <w:rFonts w:ascii="宋体" w:hAnsi="宋体"/>
                <w:color w:val="auto"/>
                <w:kern w:val="0"/>
                <w:sz w:val="21"/>
              </w:rPr>
            </w:pPr>
            <w:r>
              <w:rPr>
                <w:rFonts w:hint="eastAsia" w:ascii="宋体" w:hAnsi="宋体"/>
                <w:color w:val="auto"/>
                <w:kern w:val="0"/>
                <w:sz w:val="21"/>
              </w:rPr>
              <w:t>项目规模</w:t>
            </w:r>
          </w:p>
        </w:tc>
        <w:tc>
          <w:tcPr>
            <w:tcW w:w="7950" w:type="dxa"/>
            <w:gridSpan w:val="3"/>
            <w:noWrap w:val="0"/>
            <w:vAlign w:val="center"/>
          </w:tcPr>
          <w:p w14:paraId="4D11A1AF">
            <w:pPr>
              <w:spacing w:line="240" w:lineRule="auto"/>
              <w:ind w:firstLine="0" w:firstLineChars="0"/>
              <w:jc w:val="center"/>
              <w:rPr>
                <w:rFonts w:ascii="宋体" w:hAnsi="宋体"/>
                <w:color w:val="auto"/>
                <w:kern w:val="0"/>
                <w:sz w:val="21"/>
              </w:rPr>
            </w:pPr>
            <w:r>
              <w:rPr>
                <w:rFonts w:hint="eastAsia" w:ascii="宋体" w:hAnsi="宋体"/>
                <w:color w:val="auto"/>
                <w:kern w:val="0"/>
                <w:sz w:val="21"/>
              </w:rPr>
              <w:t>项目占地面积31964㎡(折合47.95亩)，总建筑面积121678.00㎡，其中地上建筑面积为95116.00㎡，地下室建筑面积26562.00㎡。设计方案以中央围合形成一个多功能的复合型教学区，主要包括2栋教学主楼（1</w:t>
            </w:r>
            <w:r>
              <w:rPr>
                <w:rFonts w:ascii="宋体" w:hAnsi="宋体"/>
                <w:color w:val="auto"/>
                <w:kern w:val="0"/>
                <w:sz w:val="21"/>
              </w:rPr>
              <w:t>1</w:t>
            </w:r>
            <w:r>
              <w:rPr>
                <w:rFonts w:hint="eastAsia" w:ascii="宋体" w:hAnsi="宋体"/>
                <w:color w:val="auto"/>
                <w:kern w:val="0"/>
                <w:sz w:val="21"/>
              </w:rPr>
              <w:t>层，建筑高度6</w:t>
            </w:r>
            <w:r>
              <w:rPr>
                <w:rFonts w:ascii="宋体" w:hAnsi="宋体"/>
                <w:color w:val="auto"/>
                <w:kern w:val="0"/>
                <w:sz w:val="21"/>
              </w:rPr>
              <w:t>1.2m</w:t>
            </w:r>
            <w:r>
              <w:rPr>
                <w:rFonts w:hint="eastAsia" w:ascii="宋体" w:hAnsi="宋体"/>
                <w:color w:val="auto"/>
                <w:kern w:val="0"/>
                <w:sz w:val="21"/>
              </w:rPr>
              <w:t>）、1栋会议中心（4层，建筑高度2</w:t>
            </w:r>
            <w:r>
              <w:rPr>
                <w:rFonts w:ascii="宋体" w:hAnsi="宋体"/>
                <w:color w:val="auto"/>
                <w:kern w:val="0"/>
                <w:sz w:val="21"/>
              </w:rPr>
              <w:t>8.2m</w:t>
            </w:r>
            <w:r>
              <w:rPr>
                <w:rFonts w:hint="eastAsia" w:ascii="宋体" w:hAnsi="宋体"/>
                <w:color w:val="auto"/>
                <w:kern w:val="0"/>
                <w:sz w:val="21"/>
              </w:rPr>
              <w:t>）、综合服务楼（4层，建筑高度2</w:t>
            </w:r>
            <w:r>
              <w:rPr>
                <w:rFonts w:ascii="宋体" w:hAnsi="宋体"/>
                <w:color w:val="auto"/>
                <w:kern w:val="0"/>
                <w:sz w:val="21"/>
              </w:rPr>
              <w:t>8.2m</w:t>
            </w:r>
            <w:r>
              <w:rPr>
                <w:rFonts w:hint="eastAsia" w:ascii="宋体" w:hAnsi="宋体"/>
                <w:color w:val="auto"/>
                <w:kern w:val="0"/>
                <w:sz w:val="21"/>
              </w:rPr>
              <w:t>）、地下室（1层）。</w:t>
            </w:r>
          </w:p>
        </w:tc>
      </w:tr>
      <w:tr w14:paraId="1424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noWrap w:val="0"/>
            <w:vAlign w:val="center"/>
          </w:tcPr>
          <w:p w14:paraId="4CA2C61D">
            <w:pPr>
              <w:spacing w:line="240" w:lineRule="auto"/>
              <w:ind w:firstLine="0" w:firstLineChars="0"/>
              <w:jc w:val="center"/>
              <w:rPr>
                <w:rFonts w:ascii="宋体" w:hAnsi="宋体"/>
                <w:color w:val="auto"/>
                <w:kern w:val="0"/>
                <w:sz w:val="21"/>
              </w:rPr>
            </w:pPr>
            <w:r>
              <w:rPr>
                <w:rFonts w:hint="eastAsia" w:ascii="宋体" w:hAnsi="宋体"/>
                <w:color w:val="auto"/>
                <w:kern w:val="0"/>
                <w:sz w:val="21"/>
              </w:rPr>
              <w:t>造价</w:t>
            </w:r>
          </w:p>
        </w:tc>
        <w:tc>
          <w:tcPr>
            <w:tcW w:w="2904" w:type="dxa"/>
            <w:noWrap w:val="0"/>
            <w:vAlign w:val="center"/>
          </w:tcPr>
          <w:p w14:paraId="1E0D8D78">
            <w:pPr>
              <w:spacing w:line="240" w:lineRule="auto"/>
              <w:ind w:firstLine="0" w:firstLineChars="0"/>
              <w:jc w:val="center"/>
              <w:rPr>
                <w:rFonts w:ascii="宋体" w:hAnsi="宋体"/>
                <w:color w:val="auto"/>
                <w:kern w:val="0"/>
                <w:sz w:val="21"/>
              </w:rPr>
            </w:pPr>
            <w:r>
              <w:rPr>
                <w:rFonts w:ascii="宋体" w:hAnsi="宋体"/>
                <w:color w:val="auto"/>
                <w:kern w:val="0"/>
                <w:sz w:val="21"/>
              </w:rPr>
              <w:t>8.38</w:t>
            </w:r>
            <w:r>
              <w:rPr>
                <w:rFonts w:hint="eastAsia" w:ascii="宋体" w:hAnsi="宋体"/>
                <w:color w:val="auto"/>
                <w:kern w:val="0"/>
                <w:sz w:val="21"/>
              </w:rPr>
              <w:t>亿（含设计费用）</w:t>
            </w:r>
          </w:p>
        </w:tc>
        <w:tc>
          <w:tcPr>
            <w:tcW w:w="2523" w:type="dxa"/>
            <w:noWrap w:val="0"/>
            <w:vAlign w:val="center"/>
          </w:tcPr>
          <w:p w14:paraId="7D3571A8">
            <w:pPr>
              <w:spacing w:line="240" w:lineRule="auto"/>
              <w:ind w:firstLine="0" w:firstLineChars="0"/>
              <w:jc w:val="center"/>
              <w:rPr>
                <w:rFonts w:ascii="宋体" w:hAnsi="宋体"/>
                <w:color w:val="auto"/>
                <w:kern w:val="0"/>
                <w:sz w:val="21"/>
              </w:rPr>
            </w:pPr>
            <w:r>
              <w:rPr>
                <w:rFonts w:hint="eastAsia" w:ascii="宋体" w:hAnsi="宋体"/>
                <w:color w:val="auto"/>
                <w:kern w:val="0"/>
                <w:sz w:val="21"/>
              </w:rPr>
              <w:t>计价方式</w:t>
            </w:r>
          </w:p>
        </w:tc>
        <w:tc>
          <w:tcPr>
            <w:tcW w:w="2523" w:type="dxa"/>
            <w:noWrap w:val="0"/>
            <w:vAlign w:val="center"/>
          </w:tcPr>
          <w:p w14:paraId="5B4D5F95">
            <w:pPr>
              <w:spacing w:line="240" w:lineRule="auto"/>
              <w:ind w:firstLine="0" w:firstLineChars="0"/>
              <w:jc w:val="center"/>
              <w:rPr>
                <w:rFonts w:ascii="宋体" w:hAnsi="宋体"/>
                <w:color w:val="auto"/>
                <w:kern w:val="0"/>
                <w:sz w:val="21"/>
              </w:rPr>
            </w:pPr>
            <w:r>
              <w:rPr>
                <w:rFonts w:hint="eastAsia" w:ascii="宋体" w:hAnsi="宋体"/>
                <w:color w:val="auto"/>
                <w:kern w:val="0"/>
                <w:sz w:val="21"/>
              </w:rPr>
              <w:t>清单计价及定额计价</w:t>
            </w:r>
          </w:p>
        </w:tc>
      </w:tr>
      <w:tr w14:paraId="2560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noWrap w:val="0"/>
            <w:vAlign w:val="center"/>
          </w:tcPr>
          <w:p w14:paraId="767D35D7">
            <w:pPr>
              <w:spacing w:line="240" w:lineRule="auto"/>
              <w:ind w:firstLine="0" w:firstLineChars="0"/>
              <w:jc w:val="center"/>
              <w:rPr>
                <w:rFonts w:ascii="宋体" w:hAnsi="宋体"/>
                <w:color w:val="auto"/>
                <w:kern w:val="0"/>
                <w:sz w:val="21"/>
              </w:rPr>
            </w:pPr>
            <w:r>
              <w:rPr>
                <w:rFonts w:hint="eastAsia" w:ascii="宋体" w:hAnsi="宋体"/>
                <w:color w:val="auto"/>
                <w:kern w:val="0"/>
                <w:sz w:val="21"/>
              </w:rPr>
              <w:t>基坑支护形式</w:t>
            </w:r>
          </w:p>
        </w:tc>
        <w:tc>
          <w:tcPr>
            <w:tcW w:w="2904" w:type="dxa"/>
            <w:noWrap w:val="0"/>
            <w:vAlign w:val="center"/>
          </w:tcPr>
          <w:p w14:paraId="28E8301F">
            <w:pPr>
              <w:spacing w:line="240" w:lineRule="auto"/>
              <w:ind w:firstLine="0" w:firstLineChars="0"/>
              <w:jc w:val="center"/>
              <w:rPr>
                <w:rFonts w:ascii="宋体" w:hAnsi="宋体"/>
                <w:color w:val="auto"/>
                <w:kern w:val="0"/>
                <w:sz w:val="21"/>
              </w:rPr>
            </w:pPr>
            <w:r>
              <w:rPr>
                <w:rFonts w:hint="eastAsia" w:ascii="宋体" w:hAnsi="宋体"/>
                <w:color w:val="auto"/>
                <w:kern w:val="0"/>
                <w:sz w:val="21"/>
              </w:rPr>
              <w:t>钢板桩+锚索+局部三轴水泥搅拌桩</w:t>
            </w:r>
          </w:p>
        </w:tc>
        <w:tc>
          <w:tcPr>
            <w:tcW w:w="2523" w:type="dxa"/>
            <w:noWrap w:val="0"/>
            <w:vAlign w:val="center"/>
          </w:tcPr>
          <w:p w14:paraId="5E5ADF35">
            <w:pPr>
              <w:spacing w:line="240" w:lineRule="auto"/>
              <w:ind w:firstLine="0" w:firstLineChars="0"/>
              <w:jc w:val="center"/>
              <w:rPr>
                <w:rFonts w:ascii="宋体" w:hAnsi="宋体"/>
                <w:color w:val="auto"/>
                <w:kern w:val="0"/>
                <w:sz w:val="21"/>
              </w:rPr>
            </w:pPr>
            <w:r>
              <w:rPr>
                <w:rFonts w:hint="eastAsia" w:ascii="宋体" w:hAnsi="宋体"/>
                <w:color w:val="auto"/>
                <w:kern w:val="0"/>
                <w:sz w:val="21"/>
              </w:rPr>
              <w:t>结构形式</w:t>
            </w:r>
          </w:p>
        </w:tc>
        <w:tc>
          <w:tcPr>
            <w:tcW w:w="2523" w:type="dxa"/>
            <w:noWrap w:val="0"/>
            <w:vAlign w:val="center"/>
          </w:tcPr>
          <w:p w14:paraId="4FCE003E">
            <w:pPr>
              <w:spacing w:line="240" w:lineRule="auto"/>
              <w:ind w:firstLine="0" w:firstLineChars="0"/>
              <w:jc w:val="center"/>
              <w:rPr>
                <w:rFonts w:ascii="宋体" w:hAnsi="宋体"/>
                <w:color w:val="auto"/>
                <w:kern w:val="0"/>
                <w:sz w:val="21"/>
              </w:rPr>
            </w:pPr>
            <w:r>
              <w:rPr>
                <w:rFonts w:hint="eastAsia" w:ascii="宋体" w:hAnsi="宋体"/>
                <w:color w:val="auto"/>
                <w:kern w:val="0"/>
                <w:sz w:val="21"/>
              </w:rPr>
              <w:t>教学楼为框剪结构，裙楼为框架结构。</w:t>
            </w:r>
          </w:p>
        </w:tc>
      </w:tr>
      <w:tr w14:paraId="3EB1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gridSpan w:val="4"/>
            <w:noWrap w:val="0"/>
            <w:vAlign w:val="center"/>
          </w:tcPr>
          <w:p w14:paraId="4394DED9">
            <w:pPr>
              <w:spacing w:line="240" w:lineRule="auto"/>
              <w:ind w:firstLine="0" w:firstLineChars="0"/>
              <w:jc w:val="center"/>
              <w:rPr>
                <w:rFonts w:ascii="宋体" w:hAnsi="宋体"/>
                <w:color w:val="auto"/>
                <w:kern w:val="0"/>
                <w:sz w:val="21"/>
              </w:rPr>
            </w:pPr>
            <w:r>
              <w:rPr>
                <w:rFonts w:hint="eastAsia" w:ascii="宋体" w:hAnsi="宋体"/>
                <w:color w:val="auto"/>
                <w:kern w:val="0"/>
                <w:sz w:val="21"/>
              </w:rPr>
              <w:t>建设相关方</w:t>
            </w:r>
          </w:p>
        </w:tc>
      </w:tr>
      <w:tr w14:paraId="102B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noWrap w:val="0"/>
            <w:vAlign w:val="center"/>
          </w:tcPr>
          <w:p w14:paraId="4CED2A3D">
            <w:pPr>
              <w:spacing w:line="240" w:lineRule="auto"/>
              <w:ind w:firstLine="0" w:firstLineChars="0"/>
              <w:jc w:val="center"/>
              <w:rPr>
                <w:rFonts w:ascii="宋体" w:hAnsi="宋体"/>
                <w:color w:val="auto"/>
                <w:kern w:val="0"/>
                <w:sz w:val="21"/>
              </w:rPr>
            </w:pPr>
            <w:r>
              <w:rPr>
                <w:rFonts w:hint="eastAsia" w:ascii="宋体" w:hAnsi="宋体"/>
                <w:color w:val="auto"/>
                <w:kern w:val="0"/>
                <w:sz w:val="21"/>
              </w:rPr>
              <w:t>建设单位</w:t>
            </w:r>
          </w:p>
        </w:tc>
        <w:tc>
          <w:tcPr>
            <w:tcW w:w="2904" w:type="dxa"/>
            <w:noWrap w:val="0"/>
            <w:vAlign w:val="center"/>
          </w:tcPr>
          <w:p w14:paraId="02D5338B">
            <w:pPr>
              <w:spacing w:line="240" w:lineRule="auto"/>
              <w:ind w:firstLine="0" w:firstLineChars="0"/>
              <w:jc w:val="center"/>
              <w:rPr>
                <w:rFonts w:ascii="宋体" w:hAnsi="宋体"/>
                <w:color w:val="auto"/>
                <w:kern w:val="0"/>
                <w:sz w:val="21"/>
              </w:rPr>
            </w:pPr>
            <w:r>
              <w:rPr>
                <w:rFonts w:hint="eastAsia" w:ascii="宋体" w:hAnsi="宋体"/>
                <w:color w:val="auto"/>
                <w:kern w:val="0"/>
                <w:sz w:val="21"/>
                <w:lang w:val="en-US" w:eastAsia="zh-CN"/>
              </w:rPr>
              <w:t>Xx</w:t>
            </w:r>
            <w:r>
              <w:rPr>
                <w:rFonts w:hint="eastAsia" w:ascii="宋体" w:hAnsi="宋体"/>
                <w:color w:val="auto"/>
                <w:kern w:val="0"/>
                <w:sz w:val="21"/>
              </w:rPr>
              <w:t>有限公司</w:t>
            </w:r>
          </w:p>
        </w:tc>
        <w:tc>
          <w:tcPr>
            <w:tcW w:w="2523" w:type="dxa"/>
            <w:noWrap w:val="0"/>
            <w:vAlign w:val="center"/>
          </w:tcPr>
          <w:p w14:paraId="1FD32B62">
            <w:pPr>
              <w:spacing w:line="240" w:lineRule="auto"/>
              <w:ind w:firstLine="0" w:firstLineChars="0"/>
              <w:jc w:val="center"/>
              <w:rPr>
                <w:rFonts w:ascii="宋体" w:hAnsi="宋体"/>
                <w:color w:val="auto"/>
                <w:kern w:val="0"/>
                <w:sz w:val="21"/>
              </w:rPr>
            </w:pPr>
            <w:r>
              <w:rPr>
                <w:rFonts w:hint="eastAsia" w:ascii="宋体" w:hAnsi="宋体"/>
                <w:color w:val="auto"/>
                <w:kern w:val="0"/>
                <w:sz w:val="21"/>
              </w:rPr>
              <w:t>代管单位</w:t>
            </w:r>
          </w:p>
        </w:tc>
        <w:tc>
          <w:tcPr>
            <w:tcW w:w="2523" w:type="dxa"/>
            <w:noWrap w:val="0"/>
            <w:vAlign w:val="center"/>
          </w:tcPr>
          <w:p w14:paraId="59AD34BD">
            <w:pPr>
              <w:spacing w:line="240" w:lineRule="auto"/>
              <w:ind w:firstLine="0" w:firstLineChars="0"/>
              <w:jc w:val="center"/>
              <w:rPr>
                <w:rFonts w:ascii="宋体" w:hAnsi="宋体"/>
                <w:color w:val="auto"/>
                <w:kern w:val="0"/>
                <w:sz w:val="21"/>
              </w:rPr>
            </w:pPr>
            <w:r>
              <w:rPr>
                <w:rFonts w:hint="eastAsia" w:ascii="宋体" w:hAnsi="宋体"/>
                <w:color w:val="auto"/>
                <w:sz w:val="21"/>
                <w:szCs w:val="21"/>
                <w:lang w:val="en-US" w:eastAsia="zh-CN"/>
              </w:rPr>
              <w:t>Xx</w:t>
            </w:r>
            <w:r>
              <w:rPr>
                <w:rFonts w:hint="eastAsia" w:ascii="宋体" w:hAnsi="宋体"/>
                <w:color w:val="auto"/>
                <w:sz w:val="21"/>
                <w:szCs w:val="21"/>
              </w:rPr>
              <w:t>有限公司</w:t>
            </w:r>
          </w:p>
        </w:tc>
      </w:tr>
      <w:tr w14:paraId="3DCB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noWrap w:val="0"/>
            <w:vAlign w:val="center"/>
          </w:tcPr>
          <w:p w14:paraId="5C1125F6">
            <w:pPr>
              <w:spacing w:line="240" w:lineRule="auto"/>
              <w:ind w:firstLine="0" w:firstLineChars="0"/>
              <w:jc w:val="center"/>
              <w:rPr>
                <w:rFonts w:ascii="宋体" w:hAnsi="宋体"/>
                <w:color w:val="auto"/>
                <w:kern w:val="0"/>
                <w:sz w:val="21"/>
              </w:rPr>
            </w:pPr>
            <w:r>
              <w:rPr>
                <w:rFonts w:hint="eastAsia" w:ascii="宋体" w:hAnsi="宋体"/>
                <w:color w:val="auto"/>
                <w:kern w:val="0"/>
                <w:sz w:val="21"/>
              </w:rPr>
              <w:t>设计单位</w:t>
            </w:r>
          </w:p>
        </w:tc>
        <w:tc>
          <w:tcPr>
            <w:tcW w:w="2904" w:type="dxa"/>
            <w:noWrap w:val="0"/>
            <w:vAlign w:val="center"/>
          </w:tcPr>
          <w:p w14:paraId="294E9257">
            <w:pPr>
              <w:spacing w:line="240" w:lineRule="auto"/>
              <w:ind w:firstLine="0" w:firstLineChars="0"/>
              <w:jc w:val="center"/>
              <w:rPr>
                <w:rFonts w:ascii="宋体" w:hAnsi="宋体"/>
                <w:color w:val="auto"/>
                <w:kern w:val="0"/>
                <w:sz w:val="21"/>
              </w:rPr>
            </w:pPr>
            <w:r>
              <w:rPr>
                <w:rFonts w:hint="eastAsia" w:ascii="宋体" w:hAnsi="宋体"/>
                <w:color w:val="auto"/>
                <w:kern w:val="0"/>
                <w:sz w:val="21"/>
                <w:lang w:val="en-US" w:eastAsia="zh-CN"/>
              </w:rPr>
              <w:t>Xx</w:t>
            </w:r>
            <w:r>
              <w:rPr>
                <w:rFonts w:hint="eastAsia" w:ascii="宋体" w:hAnsi="宋体"/>
                <w:color w:val="auto"/>
                <w:kern w:val="0"/>
                <w:sz w:val="21"/>
              </w:rPr>
              <w:t>设计研究院有限公司</w:t>
            </w:r>
          </w:p>
        </w:tc>
        <w:tc>
          <w:tcPr>
            <w:tcW w:w="2523" w:type="dxa"/>
            <w:noWrap w:val="0"/>
            <w:vAlign w:val="center"/>
          </w:tcPr>
          <w:p w14:paraId="57FB299B">
            <w:pPr>
              <w:spacing w:line="240" w:lineRule="auto"/>
              <w:ind w:firstLine="0" w:firstLineChars="0"/>
              <w:jc w:val="center"/>
              <w:rPr>
                <w:rFonts w:ascii="宋体" w:hAnsi="宋体"/>
                <w:color w:val="auto"/>
                <w:kern w:val="0"/>
                <w:sz w:val="21"/>
              </w:rPr>
            </w:pPr>
            <w:r>
              <w:rPr>
                <w:rFonts w:hint="eastAsia" w:ascii="宋体" w:hAnsi="宋体"/>
                <w:color w:val="auto"/>
                <w:kern w:val="0"/>
                <w:sz w:val="21"/>
              </w:rPr>
              <w:t>监理单位</w:t>
            </w:r>
          </w:p>
        </w:tc>
        <w:tc>
          <w:tcPr>
            <w:tcW w:w="2523" w:type="dxa"/>
            <w:noWrap w:val="0"/>
            <w:vAlign w:val="center"/>
          </w:tcPr>
          <w:p w14:paraId="41BA4D3C">
            <w:pPr>
              <w:spacing w:line="240" w:lineRule="auto"/>
              <w:ind w:firstLine="0" w:firstLineChars="0"/>
              <w:jc w:val="center"/>
              <w:rPr>
                <w:rFonts w:ascii="宋体" w:hAnsi="宋体"/>
                <w:color w:val="auto"/>
                <w:kern w:val="0"/>
                <w:sz w:val="21"/>
              </w:rPr>
            </w:pPr>
            <w:r>
              <w:rPr>
                <w:rFonts w:hint="eastAsia" w:ascii="宋体" w:hAnsi="宋体"/>
                <w:color w:val="auto"/>
                <w:kern w:val="0"/>
                <w:sz w:val="21"/>
                <w:lang w:val="en-US" w:eastAsia="zh-CN"/>
              </w:rPr>
              <w:t>Xx</w:t>
            </w:r>
            <w:r>
              <w:rPr>
                <w:rFonts w:hint="eastAsia" w:ascii="宋体" w:hAnsi="宋体"/>
                <w:color w:val="auto"/>
                <w:kern w:val="0"/>
                <w:sz w:val="21"/>
              </w:rPr>
              <w:t>有限公司</w:t>
            </w:r>
          </w:p>
        </w:tc>
      </w:tr>
      <w:tr w14:paraId="42A6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noWrap w:val="0"/>
            <w:vAlign w:val="center"/>
          </w:tcPr>
          <w:p w14:paraId="48610C87">
            <w:pPr>
              <w:spacing w:line="240" w:lineRule="auto"/>
              <w:ind w:firstLine="0" w:firstLineChars="0"/>
              <w:jc w:val="center"/>
              <w:rPr>
                <w:rFonts w:ascii="宋体" w:hAnsi="宋体"/>
                <w:color w:val="auto"/>
                <w:kern w:val="0"/>
                <w:sz w:val="21"/>
              </w:rPr>
            </w:pPr>
            <w:r>
              <w:rPr>
                <w:rFonts w:hint="eastAsia" w:ascii="宋体" w:hAnsi="宋体"/>
                <w:color w:val="auto"/>
                <w:kern w:val="0"/>
                <w:sz w:val="21"/>
              </w:rPr>
              <w:t>总包单位</w:t>
            </w:r>
          </w:p>
        </w:tc>
        <w:tc>
          <w:tcPr>
            <w:tcW w:w="2904" w:type="dxa"/>
            <w:noWrap w:val="0"/>
            <w:vAlign w:val="center"/>
          </w:tcPr>
          <w:p w14:paraId="4578EA1B">
            <w:pPr>
              <w:spacing w:line="240" w:lineRule="auto"/>
              <w:ind w:firstLine="0" w:firstLineChars="0"/>
              <w:jc w:val="center"/>
              <w:rPr>
                <w:rFonts w:ascii="宋体" w:hAnsi="宋体"/>
                <w:color w:val="auto"/>
                <w:kern w:val="0"/>
                <w:sz w:val="21"/>
              </w:rPr>
            </w:pPr>
            <w:r>
              <w:rPr>
                <w:rFonts w:hint="eastAsia" w:ascii="宋体" w:hAnsi="宋体"/>
                <w:color w:val="auto"/>
                <w:kern w:val="0"/>
                <w:sz w:val="21"/>
                <w:lang w:val="en-US" w:eastAsia="zh-CN"/>
              </w:rPr>
              <w:t>Xx</w:t>
            </w:r>
            <w:r>
              <w:rPr>
                <w:rFonts w:hint="eastAsia" w:ascii="宋体" w:hAnsi="宋体"/>
                <w:color w:val="auto"/>
                <w:kern w:val="0"/>
                <w:sz w:val="21"/>
              </w:rPr>
              <w:t>有限公司</w:t>
            </w:r>
          </w:p>
        </w:tc>
        <w:tc>
          <w:tcPr>
            <w:tcW w:w="2523" w:type="dxa"/>
            <w:noWrap w:val="0"/>
            <w:vAlign w:val="center"/>
          </w:tcPr>
          <w:p w14:paraId="493519B0">
            <w:pPr>
              <w:spacing w:line="240" w:lineRule="auto"/>
              <w:ind w:firstLine="0" w:firstLineChars="0"/>
              <w:jc w:val="center"/>
              <w:rPr>
                <w:rFonts w:ascii="宋体" w:hAnsi="宋体"/>
                <w:color w:val="auto"/>
                <w:kern w:val="0"/>
                <w:sz w:val="21"/>
              </w:rPr>
            </w:pPr>
            <w:r>
              <w:rPr>
                <w:rFonts w:hint="eastAsia" w:ascii="宋体" w:hAnsi="宋体"/>
                <w:color w:val="auto"/>
                <w:kern w:val="0"/>
                <w:sz w:val="21"/>
              </w:rPr>
              <w:t>勘察单位</w:t>
            </w:r>
          </w:p>
        </w:tc>
        <w:tc>
          <w:tcPr>
            <w:tcW w:w="2523" w:type="dxa"/>
            <w:noWrap w:val="0"/>
            <w:vAlign w:val="center"/>
          </w:tcPr>
          <w:p w14:paraId="177938A2">
            <w:pPr>
              <w:spacing w:line="240" w:lineRule="auto"/>
              <w:ind w:firstLine="0" w:firstLineChars="0"/>
              <w:jc w:val="center"/>
              <w:rPr>
                <w:rFonts w:ascii="宋体" w:hAnsi="宋体"/>
                <w:color w:val="auto"/>
                <w:kern w:val="0"/>
                <w:sz w:val="21"/>
              </w:rPr>
            </w:pPr>
            <w:r>
              <w:rPr>
                <w:rFonts w:hint="eastAsia" w:ascii="宋体" w:hAnsi="宋体"/>
                <w:color w:val="auto"/>
                <w:kern w:val="0"/>
                <w:sz w:val="21"/>
                <w:lang w:val="en-US" w:eastAsia="zh-CN"/>
              </w:rPr>
              <w:t>Xx</w:t>
            </w:r>
            <w:r>
              <w:rPr>
                <w:rFonts w:hint="eastAsia" w:ascii="宋体" w:hAnsi="宋体"/>
                <w:color w:val="auto"/>
                <w:kern w:val="0"/>
                <w:sz w:val="21"/>
              </w:rPr>
              <w:t>勘察院</w:t>
            </w:r>
          </w:p>
        </w:tc>
      </w:tr>
      <w:tr w14:paraId="7E1F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6" w:type="dxa"/>
            <w:noWrap w:val="0"/>
            <w:vAlign w:val="center"/>
          </w:tcPr>
          <w:p w14:paraId="47DB4833">
            <w:pPr>
              <w:spacing w:line="240" w:lineRule="auto"/>
              <w:ind w:firstLine="0" w:firstLineChars="0"/>
              <w:jc w:val="center"/>
              <w:rPr>
                <w:rFonts w:ascii="宋体" w:hAnsi="宋体"/>
                <w:color w:val="auto"/>
                <w:kern w:val="0"/>
                <w:sz w:val="21"/>
              </w:rPr>
            </w:pPr>
            <w:r>
              <w:rPr>
                <w:rFonts w:hint="eastAsia" w:ascii="宋体" w:hAnsi="宋体"/>
                <w:color w:val="auto"/>
                <w:kern w:val="0"/>
                <w:sz w:val="21"/>
              </w:rPr>
              <w:t>交通状况</w:t>
            </w:r>
          </w:p>
        </w:tc>
        <w:tc>
          <w:tcPr>
            <w:tcW w:w="7950" w:type="dxa"/>
            <w:gridSpan w:val="3"/>
            <w:noWrap w:val="0"/>
            <w:vAlign w:val="center"/>
          </w:tcPr>
          <w:p w14:paraId="4295EECC">
            <w:pPr>
              <w:spacing w:line="240" w:lineRule="auto"/>
              <w:ind w:firstLine="0" w:firstLineChars="0"/>
              <w:jc w:val="center"/>
              <w:rPr>
                <w:rFonts w:ascii="宋体" w:hAnsi="宋体"/>
                <w:color w:val="auto"/>
                <w:kern w:val="0"/>
                <w:sz w:val="21"/>
              </w:rPr>
            </w:pPr>
            <w:r>
              <w:rPr>
                <w:rFonts w:hint="eastAsia" w:ascii="宋体" w:hAnsi="宋体"/>
                <w:color w:val="auto"/>
                <w:kern w:val="0"/>
                <w:sz w:val="21"/>
              </w:rPr>
              <w:t>项目位于三亚崖州湾科技城大学片区内，在崖州区大蛋村西南侧约</w:t>
            </w:r>
            <w:r>
              <w:rPr>
                <w:rFonts w:hint="eastAsia" w:ascii="宋体" w:hAnsi="宋体"/>
                <w:b/>
                <w:color w:val="auto"/>
                <w:kern w:val="0"/>
                <w:sz w:val="21"/>
              </w:rPr>
              <w:t>1</w:t>
            </w:r>
            <w:r>
              <w:rPr>
                <w:rFonts w:hint="eastAsia" w:ascii="宋体" w:hAnsi="宋体"/>
                <w:color w:val="auto"/>
                <w:kern w:val="0"/>
                <w:sz w:val="21"/>
              </w:rPr>
              <w:t>00m，目前项目周边路网尚未形成，交通条件较差。</w:t>
            </w:r>
          </w:p>
        </w:tc>
      </w:tr>
      <w:bookmarkEnd w:id="7"/>
    </w:tbl>
    <w:p w14:paraId="4E716274">
      <w:pPr>
        <w:pStyle w:val="17"/>
        <w:spacing w:line="460" w:lineRule="exact"/>
        <w:ind w:firstLine="480"/>
        <w:rPr>
          <w:color w:val="auto"/>
        </w:rPr>
      </w:pPr>
      <w:bookmarkStart w:id="8" w:name="_Hlk19457778"/>
      <w:r>
        <w:rPr>
          <w:rFonts w:hint="eastAsia" w:hAnsi="宋体"/>
          <w:color w:val="auto"/>
        </w:rPr>
        <w:t>三亚崖州湾公共教学区项目位于海南省三亚崖州湾科技城内，项目南边为规划1号路，北侧为规划15号路，西侧为规划9号路，东侧为规划河道。项目占地面积31964㎡(折合47.95亩)，总建筑面积121678.00㎡，其中地上建筑面积为95116.00㎡，地下室建筑面积26562.00㎡。设计方案以中央围合形成一个多功能的复合型教学区，主要包括2栋教学主楼（11层，建筑高度61.2m）、1栋会议中心（4层，建筑高度28.2m）、综合服务楼（4层，建筑高度28.2m）、地下室（1层）。内含教室、实验室、教师办公室、图书馆、报告厅、食堂、体育馆等，项目建成后可容纳研究生3826人</w:t>
      </w:r>
      <w:r>
        <w:rPr>
          <w:rFonts w:hAnsi="宋体"/>
          <w:color w:val="auto"/>
        </w:rPr>
        <w:t>。</w:t>
      </w:r>
      <w:bookmarkEnd w:id="8"/>
    </w:p>
    <w:p w14:paraId="109B2F0E">
      <w:pPr>
        <w:pStyle w:val="4"/>
        <w:rPr>
          <w:color w:val="auto"/>
        </w:rPr>
      </w:pPr>
      <w:bookmarkStart w:id="9" w:name="_Toc143"/>
      <w:r>
        <w:rPr>
          <w:rFonts w:hint="eastAsia"/>
          <w:color w:val="auto"/>
        </w:rPr>
        <w:t>绿色建筑概况</w:t>
      </w:r>
      <w:bookmarkEnd w:id="9"/>
    </w:p>
    <w:p w14:paraId="32D906E4">
      <w:pPr>
        <w:ind w:firstLine="480"/>
        <w:rPr>
          <w:rFonts w:hint="eastAsia" w:ascii="宋体" w:hAnsi="宋体"/>
          <w:color w:val="auto"/>
        </w:rPr>
      </w:pPr>
      <w:r>
        <w:rPr>
          <w:rFonts w:hint="eastAsia" w:ascii="宋体" w:hAnsi="宋体"/>
          <w:color w:val="auto"/>
        </w:rPr>
        <w:t>本项目控制项全部达标，评分项与创新项的总分数达到</w:t>
      </w:r>
      <w:r>
        <w:rPr>
          <w:rFonts w:hint="eastAsia" w:ascii="宋体" w:hAnsi="宋体"/>
          <w:b/>
          <w:bCs/>
          <w:color w:val="auto"/>
        </w:rPr>
        <w:t>二星级</w:t>
      </w:r>
      <w:r>
        <w:rPr>
          <w:rFonts w:hint="eastAsia" w:ascii="宋体" w:hAnsi="宋体"/>
          <w:color w:val="auto"/>
        </w:rPr>
        <w:t>的要求，且符合以下前置评价条件：</w:t>
      </w:r>
    </w:p>
    <w:tbl>
      <w:tblPr>
        <w:tblStyle w:val="34"/>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45"/>
        <w:gridCol w:w="1236"/>
        <w:gridCol w:w="2519"/>
        <w:gridCol w:w="1236"/>
      </w:tblGrid>
      <w:tr w14:paraId="0E6BA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4045" w:type="dxa"/>
            <w:noWrap w:val="0"/>
            <w:vAlign w:val="center"/>
          </w:tcPr>
          <w:p w14:paraId="49D817B6">
            <w:pPr>
              <w:pStyle w:val="61"/>
              <w:rPr>
                <w:color w:val="auto"/>
              </w:rPr>
            </w:pPr>
            <w:r>
              <w:rPr>
                <w:rFonts w:hint="eastAsia"/>
                <w:color w:val="auto"/>
              </w:rPr>
              <w:t>技术指标内容</w:t>
            </w:r>
          </w:p>
        </w:tc>
        <w:tc>
          <w:tcPr>
            <w:tcW w:w="1236" w:type="dxa"/>
            <w:noWrap w:val="0"/>
            <w:vAlign w:val="center"/>
          </w:tcPr>
          <w:p w14:paraId="31A9F289">
            <w:pPr>
              <w:pStyle w:val="61"/>
              <w:rPr>
                <w:color w:val="auto"/>
              </w:rPr>
            </w:pPr>
            <w:r>
              <w:rPr>
                <w:rFonts w:hint="eastAsia"/>
                <w:color w:val="auto"/>
              </w:rPr>
              <w:t>自评情况</w:t>
            </w:r>
          </w:p>
        </w:tc>
        <w:tc>
          <w:tcPr>
            <w:tcW w:w="2519" w:type="dxa"/>
            <w:noWrap w:val="0"/>
            <w:vAlign w:val="center"/>
          </w:tcPr>
          <w:p w14:paraId="13005A84">
            <w:pPr>
              <w:pStyle w:val="61"/>
              <w:rPr>
                <w:color w:val="auto"/>
              </w:rPr>
            </w:pPr>
            <w:r>
              <w:rPr>
                <w:rFonts w:hint="eastAsia"/>
                <w:color w:val="auto"/>
              </w:rPr>
              <w:t>申报星级要求</w:t>
            </w:r>
          </w:p>
        </w:tc>
        <w:tc>
          <w:tcPr>
            <w:tcW w:w="1236" w:type="dxa"/>
            <w:noWrap w:val="0"/>
            <w:vAlign w:val="center"/>
          </w:tcPr>
          <w:p w14:paraId="0F519209">
            <w:pPr>
              <w:pStyle w:val="61"/>
              <w:rPr>
                <w:color w:val="auto"/>
              </w:rPr>
            </w:pPr>
            <w:r>
              <w:rPr>
                <w:rFonts w:hint="eastAsia"/>
                <w:color w:val="auto"/>
              </w:rPr>
              <w:t>是否达标</w:t>
            </w:r>
          </w:p>
        </w:tc>
      </w:tr>
      <w:tr w14:paraId="27C77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4045" w:type="dxa"/>
            <w:noWrap w:val="0"/>
            <w:vAlign w:val="center"/>
          </w:tcPr>
          <w:p w14:paraId="60DAFFFE">
            <w:pPr>
              <w:pStyle w:val="61"/>
              <w:rPr>
                <w:color w:val="auto"/>
              </w:rPr>
            </w:pPr>
            <w:r>
              <w:rPr>
                <w:rFonts w:hint="eastAsia"/>
                <w:color w:val="auto"/>
              </w:rPr>
              <w:t>围护结构热工性能的提高比例，或建筑供暖空调负荷降低比例</w:t>
            </w:r>
          </w:p>
        </w:tc>
        <w:tc>
          <w:tcPr>
            <w:tcW w:w="1236" w:type="dxa"/>
            <w:noWrap w:val="0"/>
            <w:vAlign w:val="center"/>
          </w:tcPr>
          <w:p w14:paraId="3060D4FB">
            <w:pPr>
              <w:pStyle w:val="61"/>
              <w:rPr>
                <w:color w:val="auto"/>
              </w:rPr>
            </w:pPr>
            <w:r>
              <w:rPr>
                <w:rFonts w:hint="eastAsia"/>
                <w:color w:val="auto"/>
              </w:rPr>
              <w:t>提升</w:t>
            </w:r>
            <w:r>
              <w:rPr>
                <w:color w:val="auto"/>
              </w:rPr>
              <w:t>10%</w:t>
            </w:r>
          </w:p>
        </w:tc>
        <w:tc>
          <w:tcPr>
            <w:tcW w:w="2519" w:type="dxa"/>
            <w:noWrap w:val="0"/>
            <w:vAlign w:val="center"/>
          </w:tcPr>
          <w:p w14:paraId="6AB9A504">
            <w:pPr>
              <w:pStyle w:val="61"/>
              <w:rPr>
                <w:color w:val="auto"/>
              </w:rPr>
            </w:pPr>
            <w:r>
              <w:rPr>
                <w:rFonts w:hint="eastAsia"/>
                <w:color w:val="auto"/>
              </w:rPr>
              <w:t>提高10%或负荷降低10%</w:t>
            </w:r>
          </w:p>
        </w:tc>
        <w:tc>
          <w:tcPr>
            <w:tcW w:w="1236" w:type="dxa"/>
            <w:noWrap w:val="0"/>
            <w:vAlign w:val="center"/>
          </w:tcPr>
          <w:p w14:paraId="3653A60B">
            <w:pPr>
              <w:pStyle w:val="61"/>
              <w:rPr>
                <w:color w:val="auto"/>
              </w:rPr>
            </w:pPr>
            <w:r>
              <w:rPr>
                <w:rFonts w:hint="eastAsia"/>
                <w:color w:val="auto"/>
              </w:rPr>
              <w:t>是</w:t>
            </w:r>
          </w:p>
        </w:tc>
      </w:tr>
      <w:tr w14:paraId="3933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045" w:type="dxa"/>
            <w:noWrap w:val="0"/>
            <w:vAlign w:val="center"/>
          </w:tcPr>
          <w:p w14:paraId="09C25ADB">
            <w:pPr>
              <w:pStyle w:val="61"/>
              <w:rPr>
                <w:color w:val="auto"/>
              </w:rPr>
            </w:pPr>
            <w:r>
              <w:rPr>
                <w:rFonts w:hint="eastAsia"/>
                <w:color w:val="auto"/>
              </w:rPr>
              <w:t>严寒和寒冷地区住宅建筑外窗传热系数</w:t>
            </w:r>
          </w:p>
        </w:tc>
        <w:tc>
          <w:tcPr>
            <w:tcW w:w="1236" w:type="dxa"/>
            <w:noWrap w:val="0"/>
            <w:vAlign w:val="center"/>
          </w:tcPr>
          <w:p w14:paraId="0060AF5F">
            <w:pPr>
              <w:pStyle w:val="61"/>
              <w:rPr>
                <w:color w:val="auto"/>
              </w:rPr>
            </w:pPr>
            <w:r>
              <w:rPr>
                <w:rFonts w:hint="eastAsia"/>
                <w:color w:val="auto"/>
              </w:rPr>
              <w:t>—</w:t>
            </w:r>
          </w:p>
        </w:tc>
        <w:tc>
          <w:tcPr>
            <w:tcW w:w="2519" w:type="dxa"/>
            <w:noWrap w:val="0"/>
            <w:vAlign w:val="center"/>
          </w:tcPr>
          <w:p w14:paraId="00E8E4FE">
            <w:pPr>
              <w:pStyle w:val="61"/>
              <w:rPr>
                <w:color w:val="auto"/>
              </w:rPr>
            </w:pPr>
            <w:r>
              <w:rPr>
                <w:rFonts w:hint="eastAsia"/>
                <w:color w:val="auto"/>
              </w:rPr>
              <w:t>—</w:t>
            </w:r>
          </w:p>
        </w:tc>
        <w:tc>
          <w:tcPr>
            <w:tcW w:w="1236" w:type="dxa"/>
            <w:noWrap w:val="0"/>
            <w:vAlign w:val="center"/>
          </w:tcPr>
          <w:p w14:paraId="7C868476">
            <w:pPr>
              <w:pStyle w:val="61"/>
              <w:rPr>
                <w:color w:val="auto"/>
              </w:rPr>
            </w:pPr>
            <w:r>
              <w:rPr>
                <w:rFonts w:hint="eastAsia"/>
                <w:color w:val="auto"/>
              </w:rPr>
              <w:t>—</w:t>
            </w:r>
          </w:p>
        </w:tc>
      </w:tr>
      <w:tr w14:paraId="6CB5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 w:hRule="atLeast"/>
          <w:jc w:val="center"/>
        </w:trPr>
        <w:tc>
          <w:tcPr>
            <w:tcW w:w="4045" w:type="dxa"/>
            <w:noWrap w:val="0"/>
            <w:vAlign w:val="center"/>
          </w:tcPr>
          <w:p w14:paraId="3C2C0633">
            <w:pPr>
              <w:pStyle w:val="61"/>
              <w:rPr>
                <w:color w:val="auto"/>
              </w:rPr>
            </w:pPr>
            <w:r>
              <w:rPr>
                <w:rFonts w:hint="eastAsia"/>
                <w:color w:val="auto"/>
              </w:rPr>
              <w:t>节水器具用水效率等级</w:t>
            </w:r>
          </w:p>
        </w:tc>
        <w:tc>
          <w:tcPr>
            <w:tcW w:w="1236" w:type="dxa"/>
            <w:noWrap w:val="0"/>
            <w:vAlign w:val="center"/>
          </w:tcPr>
          <w:p w14:paraId="411EFD0A">
            <w:pPr>
              <w:pStyle w:val="61"/>
              <w:rPr>
                <w:color w:val="auto"/>
              </w:rPr>
            </w:pPr>
            <w:r>
              <w:rPr>
                <w:color w:val="auto"/>
              </w:rPr>
              <w:t>2</w:t>
            </w:r>
            <w:r>
              <w:rPr>
                <w:rFonts w:hint="eastAsia"/>
                <w:color w:val="auto"/>
              </w:rPr>
              <w:t>级</w:t>
            </w:r>
          </w:p>
        </w:tc>
        <w:tc>
          <w:tcPr>
            <w:tcW w:w="2519" w:type="dxa"/>
            <w:noWrap w:val="0"/>
            <w:vAlign w:val="center"/>
          </w:tcPr>
          <w:p w14:paraId="0609FE23">
            <w:pPr>
              <w:pStyle w:val="61"/>
              <w:rPr>
                <w:color w:val="auto"/>
              </w:rPr>
            </w:pPr>
            <w:r>
              <w:rPr>
                <w:rFonts w:hint="eastAsia"/>
                <w:color w:val="auto"/>
              </w:rPr>
              <w:t>2级</w:t>
            </w:r>
          </w:p>
        </w:tc>
        <w:tc>
          <w:tcPr>
            <w:tcW w:w="1236" w:type="dxa"/>
            <w:noWrap w:val="0"/>
            <w:vAlign w:val="center"/>
          </w:tcPr>
          <w:p w14:paraId="4DDBA1D7">
            <w:pPr>
              <w:pStyle w:val="61"/>
              <w:rPr>
                <w:color w:val="auto"/>
              </w:rPr>
            </w:pPr>
            <w:r>
              <w:rPr>
                <w:rFonts w:hint="eastAsia"/>
                <w:color w:val="auto"/>
              </w:rPr>
              <w:t>是</w:t>
            </w:r>
          </w:p>
        </w:tc>
      </w:tr>
      <w:tr w14:paraId="30DB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4045" w:type="dxa"/>
            <w:noWrap w:val="0"/>
            <w:vAlign w:val="center"/>
          </w:tcPr>
          <w:p w14:paraId="25327C86">
            <w:pPr>
              <w:pStyle w:val="61"/>
              <w:rPr>
                <w:color w:val="auto"/>
              </w:rPr>
            </w:pPr>
            <w:r>
              <w:rPr>
                <w:rFonts w:hint="eastAsia"/>
                <w:color w:val="auto"/>
              </w:rPr>
              <w:t>住宅建筑隔声性能</w:t>
            </w:r>
          </w:p>
        </w:tc>
        <w:tc>
          <w:tcPr>
            <w:tcW w:w="1236" w:type="dxa"/>
            <w:noWrap w:val="0"/>
            <w:vAlign w:val="center"/>
          </w:tcPr>
          <w:p w14:paraId="1D2BE1C1">
            <w:pPr>
              <w:pStyle w:val="61"/>
              <w:rPr>
                <w:color w:val="auto"/>
              </w:rPr>
            </w:pPr>
            <w:r>
              <w:rPr>
                <w:rFonts w:hint="eastAsia"/>
                <w:color w:val="auto"/>
              </w:rPr>
              <w:t>—</w:t>
            </w:r>
          </w:p>
        </w:tc>
        <w:tc>
          <w:tcPr>
            <w:tcW w:w="2519" w:type="dxa"/>
            <w:noWrap w:val="0"/>
            <w:vAlign w:val="center"/>
          </w:tcPr>
          <w:p w14:paraId="47586F64">
            <w:pPr>
              <w:pStyle w:val="61"/>
              <w:rPr>
                <w:color w:val="auto"/>
              </w:rPr>
            </w:pPr>
            <w:r>
              <w:rPr>
                <w:rFonts w:hint="eastAsia"/>
                <w:color w:val="auto"/>
              </w:rPr>
              <w:t>—</w:t>
            </w:r>
          </w:p>
        </w:tc>
        <w:tc>
          <w:tcPr>
            <w:tcW w:w="1236" w:type="dxa"/>
            <w:noWrap w:val="0"/>
            <w:vAlign w:val="center"/>
          </w:tcPr>
          <w:p w14:paraId="7F58B232">
            <w:pPr>
              <w:pStyle w:val="61"/>
              <w:rPr>
                <w:color w:val="auto"/>
              </w:rPr>
            </w:pPr>
            <w:r>
              <w:rPr>
                <w:rFonts w:hint="eastAsia"/>
                <w:color w:val="auto"/>
              </w:rPr>
              <w:t>—</w:t>
            </w:r>
          </w:p>
        </w:tc>
      </w:tr>
      <w:tr w14:paraId="7CCE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4045" w:type="dxa"/>
            <w:noWrap w:val="0"/>
            <w:vAlign w:val="center"/>
          </w:tcPr>
          <w:p w14:paraId="00A20A1D">
            <w:pPr>
              <w:pStyle w:val="61"/>
              <w:rPr>
                <w:color w:val="auto"/>
              </w:rPr>
            </w:pPr>
            <w:r>
              <w:rPr>
                <w:rFonts w:hint="eastAsia"/>
                <w:color w:val="auto"/>
              </w:rPr>
              <w:t>室内主要空气污染物浓度降低比例</w:t>
            </w:r>
          </w:p>
        </w:tc>
        <w:tc>
          <w:tcPr>
            <w:tcW w:w="1236" w:type="dxa"/>
            <w:noWrap w:val="0"/>
            <w:vAlign w:val="center"/>
          </w:tcPr>
          <w:p w14:paraId="1E6C41F7">
            <w:pPr>
              <w:pStyle w:val="61"/>
              <w:rPr>
                <w:color w:val="auto"/>
              </w:rPr>
            </w:pPr>
            <w:r>
              <w:rPr>
                <w:rFonts w:hint="eastAsia"/>
                <w:color w:val="auto"/>
              </w:rPr>
              <w:t>降低20</w:t>
            </w:r>
            <w:r>
              <w:rPr>
                <w:color w:val="auto"/>
              </w:rPr>
              <w:t>%</w:t>
            </w:r>
          </w:p>
        </w:tc>
        <w:tc>
          <w:tcPr>
            <w:tcW w:w="2519" w:type="dxa"/>
            <w:noWrap w:val="0"/>
            <w:vAlign w:val="center"/>
          </w:tcPr>
          <w:p w14:paraId="58B45E87">
            <w:pPr>
              <w:pStyle w:val="61"/>
              <w:rPr>
                <w:color w:val="auto"/>
              </w:rPr>
            </w:pPr>
            <w:r>
              <w:rPr>
                <w:rFonts w:hint="eastAsia"/>
                <w:color w:val="auto"/>
              </w:rPr>
              <w:t>比国家标准《室内空气质量标准》G</w:t>
            </w:r>
            <w:r>
              <w:rPr>
                <w:color w:val="auto"/>
              </w:rPr>
              <w:t>B/T 18883-2002要求</w:t>
            </w:r>
            <w:r>
              <w:rPr>
                <w:rFonts w:hint="eastAsia"/>
                <w:color w:val="auto"/>
              </w:rPr>
              <w:t>降低2</w:t>
            </w:r>
            <w:r>
              <w:rPr>
                <w:color w:val="auto"/>
              </w:rPr>
              <w:t>0</w:t>
            </w:r>
            <w:r>
              <w:rPr>
                <w:rFonts w:hint="eastAsia"/>
                <w:color w:val="auto"/>
              </w:rPr>
              <w:t>%</w:t>
            </w:r>
          </w:p>
        </w:tc>
        <w:tc>
          <w:tcPr>
            <w:tcW w:w="1236" w:type="dxa"/>
            <w:noWrap w:val="0"/>
            <w:vAlign w:val="center"/>
          </w:tcPr>
          <w:p w14:paraId="5D7E9FC7">
            <w:pPr>
              <w:pStyle w:val="61"/>
              <w:rPr>
                <w:color w:val="auto"/>
              </w:rPr>
            </w:pPr>
            <w:r>
              <w:rPr>
                <w:rFonts w:hint="eastAsia"/>
                <w:color w:val="auto"/>
              </w:rPr>
              <w:t>是</w:t>
            </w:r>
          </w:p>
        </w:tc>
      </w:tr>
      <w:tr w14:paraId="6243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4045" w:type="dxa"/>
            <w:noWrap w:val="0"/>
            <w:vAlign w:val="center"/>
          </w:tcPr>
          <w:p w14:paraId="3976FEF1">
            <w:pPr>
              <w:pStyle w:val="61"/>
              <w:rPr>
                <w:color w:val="auto"/>
              </w:rPr>
            </w:pPr>
            <w:r>
              <w:rPr>
                <w:rFonts w:hint="eastAsia"/>
                <w:color w:val="auto"/>
              </w:rPr>
              <w:t>外窗气密性能</w:t>
            </w:r>
          </w:p>
        </w:tc>
        <w:tc>
          <w:tcPr>
            <w:tcW w:w="1236" w:type="dxa"/>
            <w:noWrap w:val="0"/>
            <w:vAlign w:val="center"/>
          </w:tcPr>
          <w:p w14:paraId="4D10361F">
            <w:pPr>
              <w:pStyle w:val="61"/>
              <w:rPr>
                <w:color w:val="auto"/>
              </w:rPr>
            </w:pPr>
            <w:r>
              <w:rPr>
                <w:rFonts w:hint="eastAsia"/>
                <w:color w:val="auto"/>
              </w:rPr>
              <w:t>满足</w:t>
            </w:r>
          </w:p>
        </w:tc>
        <w:tc>
          <w:tcPr>
            <w:tcW w:w="2519" w:type="dxa"/>
            <w:noWrap w:val="0"/>
            <w:vAlign w:val="center"/>
          </w:tcPr>
          <w:p w14:paraId="3EEE8858">
            <w:pPr>
              <w:pStyle w:val="61"/>
              <w:rPr>
                <w:color w:val="auto"/>
              </w:rPr>
            </w:pPr>
            <w:r>
              <w:rPr>
                <w:rFonts w:hint="eastAsia"/>
                <w:color w:val="auto"/>
              </w:rPr>
              <w:t>符合公共建筑节能设计标准GB50189的规定，且外窗洞口与外窗本体的结合部位应严密</w:t>
            </w:r>
          </w:p>
        </w:tc>
        <w:tc>
          <w:tcPr>
            <w:tcW w:w="1236" w:type="dxa"/>
            <w:noWrap w:val="0"/>
            <w:vAlign w:val="center"/>
          </w:tcPr>
          <w:p w14:paraId="7A5C7557">
            <w:pPr>
              <w:pStyle w:val="61"/>
              <w:rPr>
                <w:color w:val="auto"/>
              </w:rPr>
            </w:pPr>
            <w:r>
              <w:rPr>
                <w:rFonts w:hint="eastAsia"/>
                <w:color w:val="auto"/>
              </w:rPr>
              <w:t>是</w:t>
            </w:r>
          </w:p>
        </w:tc>
      </w:tr>
    </w:tbl>
    <w:p w14:paraId="0D6A1B5D">
      <w:pPr>
        <w:ind w:firstLine="480"/>
        <w:rPr>
          <w:rFonts w:ascii="宋体" w:hAnsi="宋体"/>
          <w:color w:val="auto"/>
        </w:rPr>
      </w:pPr>
      <w:r>
        <w:rPr>
          <w:rFonts w:hint="eastAsia" w:ascii="宋体" w:hAnsi="宋体"/>
          <w:color w:val="auto"/>
        </w:rPr>
        <w:t>4、得分情况：</w:t>
      </w:r>
    </w:p>
    <w:tbl>
      <w:tblPr>
        <w:tblStyle w:val="34"/>
        <w:tblW w:w="9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875"/>
        <w:gridCol w:w="1110"/>
        <w:gridCol w:w="1165"/>
        <w:gridCol w:w="1103"/>
        <w:gridCol w:w="1134"/>
        <w:gridCol w:w="1134"/>
        <w:gridCol w:w="1364"/>
      </w:tblGrid>
      <w:tr w14:paraId="3113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2" w:type="dxa"/>
            <w:vMerge w:val="restart"/>
            <w:noWrap w:val="0"/>
            <w:vAlign w:val="center"/>
          </w:tcPr>
          <w:p w14:paraId="657944F2">
            <w:pPr>
              <w:pStyle w:val="61"/>
              <w:rPr>
                <w:color w:val="auto"/>
              </w:rPr>
            </w:pPr>
          </w:p>
        </w:tc>
        <w:tc>
          <w:tcPr>
            <w:tcW w:w="875" w:type="dxa"/>
            <w:vMerge w:val="restart"/>
            <w:noWrap w:val="0"/>
            <w:vAlign w:val="center"/>
          </w:tcPr>
          <w:p w14:paraId="7F961B69">
            <w:pPr>
              <w:pStyle w:val="61"/>
              <w:rPr>
                <w:color w:val="auto"/>
              </w:rPr>
            </w:pPr>
            <w:r>
              <w:rPr>
                <w:rFonts w:hint="eastAsia"/>
                <w:color w:val="auto"/>
              </w:rPr>
              <w:t>控制项</w:t>
            </w:r>
          </w:p>
          <w:p w14:paraId="4B17D9E2">
            <w:pPr>
              <w:pStyle w:val="61"/>
              <w:rPr>
                <w:color w:val="auto"/>
              </w:rPr>
            </w:pPr>
            <w:r>
              <w:rPr>
                <w:rFonts w:hint="eastAsia"/>
                <w:color w:val="auto"/>
              </w:rPr>
              <w:t>基础分值q</w:t>
            </w:r>
            <w:r>
              <w:rPr>
                <w:color w:val="auto"/>
              </w:rPr>
              <w:t>o</w:t>
            </w:r>
          </w:p>
        </w:tc>
        <w:tc>
          <w:tcPr>
            <w:tcW w:w="5646" w:type="dxa"/>
            <w:gridSpan w:val="5"/>
            <w:noWrap w:val="0"/>
            <w:vAlign w:val="center"/>
          </w:tcPr>
          <w:p w14:paraId="5F4EDCB9">
            <w:pPr>
              <w:pStyle w:val="61"/>
              <w:rPr>
                <w:color w:val="auto"/>
              </w:rPr>
            </w:pPr>
            <w:r>
              <w:rPr>
                <w:rFonts w:hint="eastAsia"/>
                <w:color w:val="auto"/>
              </w:rPr>
              <w:t>评价指标体系评分项</w:t>
            </w:r>
          </w:p>
        </w:tc>
        <w:tc>
          <w:tcPr>
            <w:tcW w:w="1364" w:type="dxa"/>
            <w:vMerge w:val="restart"/>
            <w:noWrap w:val="0"/>
            <w:vAlign w:val="center"/>
          </w:tcPr>
          <w:p w14:paraId="30A40844">
            <w:pPr>
              <w:pStyle w:val="61"/>
              <w:rPr>
                <w:color w:val="auto"/>
              </w:rPr>
            </w:pPr>
            <w:r>
              <w:rPr>
                <w:rFonts w:hint="eastAsia"/>
                <w:color w:val="auto"/>
              </w:rPr>
              <w:t>提高与创新项</w:t>
            </w:r>
          </w:p>
          <w:p w14:paraId="2293EC8B">
            <w:pPr>
              <w:pStyle w:val="61"/>
              <w:rPr>
                <w:color w:val="auto"/>
              </w:rPr>
            </w:pPr>
            <w:r>
              <w:rPr>
                <w:rFonts w:hint="eastAsia"/>
                <w:color w:val="auto"/>
              </w:rPr>
              <w:t>加分值q</w:t>
            </w:r>
            <w:r>
              <w:rPr>
                <w:color w:val="auto"/>
              </w:rPr>
              <w:t>a</w:t>
            </w:r>
          </w:p>
        </w:tc>
      </w:tr>
      <w:tr w14:paraId="2880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1142" w:type="dxa"/>
            <w:vMerge w:val="continue"/>
            <w:noWrap w:val="0"/>
            <w:vAlign w:val="center"/>
          </w:tcPr>
          <w:p w14:paraId="39E0E89F">
            <w:pPr>
              <w:pStyle w:val="61"/>
              <w:rPr>
                <w:color w:val="auto"/>
              </w:rPr>
            </w:pPr>
          </w:p>
        </w:tc>
        <w:tc>
          <w:tcPr>
            <w:tcW w:w="875" w:type="dxa"/>
            <w:vMerge w:val="continue"/>
            <w:noWrap w:val="0"/>
            <w:vAlign w:val="center"/>
          </w:tcPr>
          <w:p w14:paraId="5156222A">
            <w:pPr>
              <w:pStyle w:val="61"/>
              <w:rPr>
                <w:color w:val="auto"/>
              </w:rPr>
            </w:pPr>
          </w:p>
        </w:tc>
        <w:tc>
          <w:tcPr>
            <w:tcW w:w="1110" w:type="dxa"/>
            <w:noWrap w:val="0"/>
            <w:vAlign w:val="center"/>
          </w:tcPr>
          <w:p w14:paraId="7C7A2104">
            <w:pPr>
              <w:pStyle w:val="61"/>
              <w:rPr>
                <w:color w:val="auto"/>
              </w:rPr>
            </w:pPr>
            <w:r>
              <w:rPr>
                <w:rFonts w:hint="eastAsia"/>
                <w:color w:val="auto"/>
              </w:rPr>
              <w:t>安全耐久q</w:t>
            </w:r>
            <w:r>
              <w:rPr>
                <w:color w:val="auto"/>
              </w:rPr>
              <w:t>1</w:t>
            </w:r>
          </w:p>
        </w:tc>
        <w:tc>
          <w:tcPr>
            <w:tcW w:w="1165" w:type="dxa"/>
            <w:noWrap w:val="0"/>
            <w:vAlign w:val="center"/>
          </w:tcPr>
          <w:p w14:paraId="09643569">
            <w:pPr>
              <w:pStyle w:val="61"/>
              <w:rPr>
                <w:color w:val="auto"/>
              </w:rPr>
            </w:pPr>
            <w:r>
              <w:rPr>
                <w:rFonts w:hint="eastAsia"/>
                <w:color w:val="auto"/>
              </w:rPr>
              <w:t>健康舒适q</w:t>
            </w:r>
            <w:r>
              <w:rPr>
                <w:color w:val="auto"/>
              </w:rPr>
              <w:t>2</w:t>
            </w:r>
          </w:p>
        </w:tc>
        <w:tc>
          <w:tcPr>
            <w:tcW w:w="1103" w:type="dxa"/>
            <w:noWrap w:val="0"/>
            <w:vAlign w:val="center"/>
          </w:tcPr>
          <w:p w14:paraId="056891E4">
            <w:pPr>
              <w:pStyle w:val="61"/>
              <w:rPr>
                <w:color w:val="auto"/>
              </w:rPr>
            </w:pPr>
            <w:r>
              <w:rPr>
                <w:rFonts w:hint="eastAsia"/>
                <w:color w:val="auto"/>
              </w:rPr>
              <w:t>生活便利q</w:t>
            </w:r>
            <w:r>
              <w:rPr>
                <w:color w:val="auto"/>
              </w:rPr>
              <w:t>3</w:t>
            </w:r>
          </w:p>
        </w:tc>
        <w:tc>
          <w:tcPr>
            <w:tcW w:w="1134" w:type="dxa"/>
            <w:noWrap w:val="0"/>
            <w:vAlign w:val="center"/>
          </w:tcPr>
          <w:p w14:paraId="1C9A3A04">
            <w:pPr>
              <w:pStyle w:val="61"/>
              <w:rPr>
                <w:color w:val="auto"/>
              </w:rPr>
            </w:pPr>
            <w:r>
              <w:rPr>
                <w:rFonts w:hint="eastAsia"/>
                <w:color w:val="auto"/>
              </w:rPr>
              <w:t>资源节约q</w:t>
            </w:r>
            <w:r>
              <w:rPr>
                <w:color w:val="auto"/>
              </w:rPr>
              <w:t>4</w:t>
            </w:r>
          </w:p>
        </w:tc>
        <w:tc>
          <w:tcPr>
            <w:tcW w:w="1134" w:type="dxa"/>
            <w:noWrap w:val="0"/>
            <w:vAlign w:val="center"/>
          </w:tcPr>
          <w:p w14:paraId="6B5BE622">
            <w:pPr>
              <w:pStyle w:val="61"/>
              <w:rPr>
                <w:color w:val="auto"/>
              </w:rPr>
            </w:pPr>
            <w:r>
              <w:rPr>
                <w:rFonts w:hint="eastAsia"/>
                <w:color w:val="auto"/>
              </w:rPr>
              <w:t>环境宜居q</w:t>
            </w:r>
            <w:r>
              <w:rPr>
                <w:color w:val="auto"/>
              </w:rPr>
              <w:t>5</w:t>
            </w:r>
          </w:p>
        </w:tc>
        <w:tc>
          <w:tcPr>
            <w:tcW w:w="1364" w:type="dxa"/>
            <w:vMerge w:val="continue"/>
            <w:noWrap w:val="0"/>
            <w:vAlign w:val="center"/>
          </w:tcPr>
          <w:p w14:paraId="696FE10F">
            <w:pPr>
              <w:pStyle w:val="61"/>
              <w:rPr>
                <w:color w:val="auto"/>
              </w:rPr>
            </w:pPr>
          </w:p>
        </w:tc>
      </w:tr>
      <w:tr w14:paraId="60E0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142" w:type="dxa"/>
            <w:noWrap w:val="0"/>
            <w:vAlign w:val="center"/>
          </w:tcPr>
          <w:p w14:paraId="3EAB5B62">
            <w:pPr>
              <w:pStyle w:val="61"/>
              <w:rPr>
                <w:color w:val="auto"/>
              </w:rPr>
            </w:pPr>
            <w:r>
              <w:rPr>
                <w:rFonts w:hint="eastAsia"/>
                <w:color w:val="auto"/>
              </w:rPr>
              <w:t>评价分值</w:t>
            </w:r>
          </w:p>
        </w:tc>
        <w:tc>
          <w:tcPr>
            <w:tcW w:w="875" w:type="dxa"/>
            <w:noWrap w:val="0"/>
            <w:vAlign w:val="center"/>
          </w:tcPr>
          <w:p w14:paraId="55454095">
            <w:pPr>
              <w:pStyle w:val="61"/>
              <w:rPr>
                <w:color w:val="auto"/>
              </w:rPr>
            </w:pPr>
            <w:r>
              <w:rPr>
                <w:rFonts w:hint="eastAsia"/>
                <w:color w:val="auto"/>
              </w:rPr>
              <w:t>400</w:t>
            </w:r>
          </w:p>
        </w:tc>
        <w:tc>
          <w:tcPr>
            <w:tcW w:w="1110" w:type="dxa"/>
            <w:noWrap w:val="0"/>
            <w:vAlign w:val="center"/>
          </w:tcPr>
          <w:p w14:paraId="51BBEEA6">
            <w:pPr>
              <w:pStyle w:val="61"/>
              <w:rPr>
                <w:color w:val="auto"/>
              </w:rPr>
            </w:pPr>
            <w:r>
              <w:rPr>
                <w:rFonts w:hint="eastAsia"/>
                <w:color w:val="auto"/>
              </w:rPr>
              <w:t>100</w:t>
            </w:r>
          </w:p>
        </w:tc>
        <w:tc>
          <w:tcPr>
            <w:tcW w:w="1165" w:type="dxa"/>
            <w:noWrap w:val="0"/>
            <w:vAlign w:val="center"/>
          </w:tcPr>
          <w:p w14:paraId="57941925">
            <w:pPr>
              <w:pStyle w:val="61"/>
              <w:rPr>
                <w:color w:val="auto"/>
              </w:rPr>
            </w:pPr>
            <w:r>
              <w:rPr>
                <w:rFonts w:hint="eastAsia"/>
                <w:color w:val="auto"/>
              </w:rPr>
              <w:t>100</w:t>
            </w:r>
          </w:p>
        </w:tc>
        <w:tc>
          <w:tcPr>
            <w:tcW w:w="1103" w:type="dxa"/>
            <w:noWrap w:val="0"/>
            <w:vAlign w:val="center"/>
          </w:tcPr>
          <w:p w14:paraId="3DA8905C">
            <w:pPr>
              <w:pStyle w:val="61"/>
              <w:rPr>
                <w:color w:val="auto"/>
              </w:rPr>
            </w:pPr>
            <w:r>
              <w:rPr>
                <w:rFonts w:hint="eastAsia"/>
                <w:color w:val="auto"/>
              </w:rPr>
              <w:t>70</w:t>
            </w:r>
          </w:p>
        </w:tc>
        <w:tc>
          <w:tcPr>
            <w:tcW w:w="1134" w:type="dxa"/>
            <w:noWrap w:val="0"/>
            <w:vAlign w:val="center"/>
          </w:tcPr>
          <w:p w14:paraId="3817442F">
            <w:pPr>
              <w:pStyle w:val="61"/>
              <w:rPr>
                <w:color w:val="auto"/>
              </w:rPr>
            </w:pPr>
            <w:r>
              <w:rPr>
                <w:rFonts w:hint="eastAsia"/>
                <w:color w:val="auto"/>
              </w:rPr>
              <w:t>200</w:t>
            </w:r>
          </w:p>
        </w:tc>
        <w:tc>
          <w:tcPr>
            <w:tcW w:w="1134" w:type="dxa"/>
            <w:noWrap w:val="0"/>
            <w:vAlign w:val="center"/>
          </w:tcPr>
          <w:p w14:paraId="653429E8">
            <w:pPr>
              <w:pStyle w:val="61"/>
              <w:rPr>
                <w:color w:val="auto"/>
              </w:rPr>
            </w:pPr>
            <w:r>
              <w:rPr>
                <w:rFonts w:hint="eastAsia"/>
                <w:color w:val="auto"/>
              </w:rPr>
              <w:t>100</w:t>
            </w:r>
          </w:p>
        </w:tc>
        <w:tc>
          <w:tcPr>
            <w:tcW w:w="1364" w:type="dxa"/>
            <w:noWrap w:val="0"/>
            <w:vAlign w:val="center"/>
          </w:tcPr>
          <w:p w14:paraId="673F2B5B">
            <w:pPr>
              <w:pStyle w:val="61"/>
              <w:rPr>
                <w:color w:val="auto"/>
              </w:rPr>
            </w:pPr>
            <w:r>
              <w:rPr>
                <w:rFonts w:hint="eastAsia"/>
                <w:color w:val="auto"/>
              </w:rPr>
              <w:t>100</w:t>
            </w:r>
          </w:p>
        </w:tc>
      </w:tr>
      <w:tr w14:paraId="04A8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142" w:type="dxa"/>
            <w:noWrap w:val="0"/>
            <w:vAlign w:val="center"/>
          </w:tcPr>
          <w:p w14:paraId="3912BF51">
            <w:pPr>
              <w:pStyle w:val="61"/>
              <w:rPr>
                <w:color w:val="auto"/>
              </w:rPr>
            </w:pPr>
            <w:r>
              <w:rPr>
                <w:rFonts w:hint="eastAsia"/>
                <w:color w:val="auto"/>
              </w:rPr>
              <w:t>自评分值</w:t>
            </w:r>
          </w:p>
        </w:tc>
        <w:tc>
          <w:tcPr>
            <w:tcW w:w="875" w:type="dxa"/>
            <w:noWrap w:val="0"/>
            <w:vAlign w:val="center"/>
          </w:tcPr>
          <w:p w14:paraId="09CEFA53">
            <w:pPr>
              <w:pStyle w:val="61"/>
              <w:rPr>
                <w:color w:val="auto"/>
              </w:rPr>
            </w:pPr>
            <w:r>
              <w:rPr>
                <w:rFonts w:hint="eastAsia"/>
                <w:color w:val="auto"/>
              </w:rPr>
              <w:t>400</w:t>
            </w:r>
          </w:p>
        </w:tc>
        <w:tc>
          <w:tcPr>
            <w:tcW w:w="1110" w:type="dxa"/>
            <w:noWrap w:val="0"/>
            <w:vAlign w:val="center"/>
          </w:tcPr>
          <w:p w14:paraId="58E61AE4">
            <w:pPr>
              <w:pStyle w:val="61"/>
              <w:rPr>
                <w:color w:val="auto"/>
              </w:rPr>
            </w:pPr>
            <w:r>
              <w:rPr>
                <w:rFonts w:hint="eastAsia"/>
                <w:color w:val="auto"/>
              </w:rPr>
              <w:t>5</w:t>
            </w:r>
            <w:r>
              <w:rPr>
                <w:color w:val="auto"/>
              </w:rPr>
              <w:t>2</w:t>
            </w:r>
          </w:p>
        </w:tc>
        <w:tc>
          <w:tcPr>
            <w:tcW w:w="1165" w:type="dxa"/>
            <w:noWrap w:val="0"/>
            <w:vAlign w:val="center"/>
          </w:tcPr>
          <w:p w14:paraId="1592ACB4">
            <w:pPr>
              <w:pStyle w:val="61"/>
              <w:rPr>
                <w:color w:val="auto"/>
              </w:rPr>
            </w:pPr>
            <w:r>
              <w:rPr>
                <w:color w:val="auto"/>
              </w:rPr>
              <w:t>67</w:t>
            </w:r>
          </w:p>
        </w:tc>
        <w:tc>
          <w:tcPr>
            <w:tcW w:w="1103" w:type="dxa"/>
            <w:noWrap w:val="0"/>
            <w:vAlign w:val="center"/>
          </w:tcPr>
          <w:p w14:paraId="698E83CD">
            <w:pPr>
              <w:pStyle w:val="61"/>
              <w:rPr>
                <w:color w:val="auto"/>
              </w:rPr>
            </w:pPr>
            <w:r>
              <w:rPr>
                <w:color w:val="auto"/>
              </w:rPr>
              <w:t>40</w:t>
            </w:r>
          </w:p>
        </w:tc>
        <w:tc>
          <w:tcPr>
            <w:tcW w:w="1134" w:type="dxa"/>
            <w:noWrap w:val="0"/>
            <w:vAlign w:val="center"/>
          </w:tcPr>
          <w:p w14:paraId="166FB87A">
            <w:pPr>
              <w:pStyle w:val="61"/>
              <w:rPr>
                <w:color w:val="auto"/>
              </w:rPr>
            </w:pPr>
            <w:r>
              <w:rPr>
                <w:color w:val="auto"/>
              </w:rPr>
              <w:t>99</w:t>
            </w:r>
          </w:p>
        </w:tc>
        <w:tc>
          <w:tcPr>
            <w:tcW w:w="1134" w:type="dxa"/>
            <w:noWrap w:val="0"/>
            <w:vAlign w:val="center"/>
          </w:tcPr>
          <w:p w14:paraId="688928DD">
            <w:pPr>
              <w:pStyle w:val="61"/>
              <w:rPr>
                <w:color w:val="auto"/>
              </w:rPr>
            </w:pPr>
            <w:r>
              <w:rPr>
                <w:color w:val="auto"/>
              </w:rPr>
              <w:t>48</w:t>
            </w:r>
          </w:p>
        </w:tc>
        <w:tc>
          <w:tcPr>
            <w:tcW w:w="1364" w:type="dxa"/>
            <w:noWrap w:val="0"/>
            <w:vAlign w:val="center"/>
          </w:tcPr>
          <w:p w14:paraId="460DE946">
            <w:pPr>
              <w:pStyle w:val="61"/>
              <w:rPr>
                <w:color w:val="auto"/>
              </w:rPr>
            </w:pPr>
            <w:r>
              <w:rPr>
                <w:color w:val="auto"/>
              </w:rPr>
              <w:t>5</w:t>
            </w:r>
          </w:p>
        </w:tc>
      </w:tr>
    </w:tbl>
    <w:p w14:paraId="691CB9E8">
      <w:pPr>
        <w:ind w:firstLine="480"/>
        <w:rPr>
          <w:rFonts w:ascii="宋体" w:hAnsi="宋体"/>
          <w:color w:val="auto"/>
        </w:rPr>
      </w:pPr>
      <w:r>
        <w:rPr>
          <w:rFonts w:hint="eastAsia" w:ascii="宋体" w:hAnsi="宋体"/>
          <w:color w:val="auto"/>
        </w:rPr>
        <w:t>总得分：Q=（Q</w:t>
      </w:r>
      <w:r>
        <w:rPr>
          <w:rFonts w:hint="eastAsia" w:ascii="宋体" w:hAnsi="宋体"/>
          <w:color w:val="auto"/>
          <w:vertAlign w:val="subscript"/>
        </w:rPr>
        <w:t>0</w:t>
      </w:r>
      <w:r>
        <w:rPr>
          <w:rFonts w:hint="eastAsia" w:ascii="宋体" w:hAnsi="宋体"/>
          <w:color w:val="auto"/>
        </w:rPr>
        <w:t>+Q</w:t>
      </w:r>
      <w:r>
        <w:rPr>
          <w:rFonts w:hint="eastAsia" w:ascii="宋体" w:hAnsi="宋体"/>
          <w:color w:val="auto"/>
          <w:vertAlign w:val="subscript"/>
        </w:rPr>
        <w:t>1</w:t>
      </w:r>
      <w:r>
        <w:rPr>
          <w:rFonts w:hint="eastAsia" w:ascii="宋体" w:hAnsi="宋体"/>
          <w:color w:val="auto"/>
        </w:rPr>
        <w:t>+Q</w:t>
      </w:r>
      <w:r>
        <w:rPr>
          <w:rFonts w:hint="eastAsia" w:ascii="宋体" w:hAnsi="宋体"/>
          <w:color w:val="auto"/>
          <w:vertAlign w:val="subscript"/>
        </w:rPr>
        <w:t>2</w:t>
      </w:r>
      <w:r>
        <w:rPr>
          <w:rFonts w:hint="eastAsia" w:ascii="宋体" w:hAnsi="宋体"/>
          <w:color w:val="auto"/>
        </w:rPr>
        <w:t>+Q</w:t>
      </w:r>
      <w:r>
        <w:rPr>
          <w:rFonts w:hint="eastAsia" w:ascii="宋体" w:hAnsi="宋体"/>
          <w:color w:val="auto"/>
          <w:vertAlign w:val="subscript"/>
        </w:rPr>
        <w:t>3</w:t>
      </w:r>
      <w:r>
        <w:rPr>
          <w:rFonts w:hint="eastAsia" w:ascii="宋体" w:hAnsi="宋体"/>
          <w:color w:val="auto"/>
        </w:rPr>
        <w:t>+Q</w:t>
      </w:r>
      <w:r>
        <w:rPr>
          <w:rFonts w:hint="eastAsia" w:ascii="宋体" w:hAnsi="宋体"/>
          <w:color w:val="auto"/>
          <w:vertAlign w:val="subscript"/>
        </w:rPr>
        <w:t>4</w:t>
      </w:r>
      <w:r>
        <w:rPr>
          <w:rFonts w:hint="eastAsia" w:ascii="宋体" w:hAnsi="宋体"/>
          <w:color w:val="auto"/>
        </w:rPr>
        <w:t>+Q</w:t>
      </w:r>
      <w:r>
        <w:rPr>
          <w:rFonts w:hint="eastAsia" w:ascii="宋体" w:hAnsi="宋体"/>
          <w:color w:val="auto"/>
          <w:vertAlign w:val="subscript"/>
        </w:rPr>
        <w:t>5</w:t>
      </w:r>
      <w:r>
        <w:rPr>
          <w:rFonts w:hint="eastAsia" w:ascii="宋体" w:hAnsi="宋体"/>
          <w:color w:val="auto"/>
        </w:rPr>
        <w:t>+Q</w:t>
      </w:r>
      <w:r>
        <w:rPr>
          <w:rFonts w:hint="eastAsia" w:ascii="宋体" w:hAnsi="宋体"/>
          <w:color w:val="auto"/>
          <w:vertAlign w:val="subscript"/>
        </w:rPr>
        <w:t>A</w:t>
      </w:r>
      <w:r>
        <w:rPr>
          <w:rFonts w:hint="eastAsia" w:ascii="宋体" w:hAnsi="宋体"/>
          <w:color w:val="auto"/>
        </w:rPr>
        <w:t>）/10</w:t>
      </w:r>
      <w:r>
        <w:rPr>
          <w:rFonts w:ascii="宋体" w:hAnsi="宋体"/>
          <w:color w:val="auto"/>
        </w:rPr>
        <w:t>=71.1</w:t>
      </w:r>
    </w:p>
    <w:p w14:paraId="45F20069">
      <w:pPr>
        <w:pStyle w:val="4"/>
        <w:rPr>
          <w:color w:val="auto"/>
        </w:rPr>
      </w:pPr>
      <w:bookmarkStart w:id="10" w:name="_Toc31780"/>
      <w:r>
        <w:rPr>
          <w:rFonts w:hint="eastAsia"/>
          <w:color w:val="auto"/>
        </w:rPr>
        <w:t>绿色施工概况</w:t>
      </w:r>
      <w:bookmarkEnd w:id="10"/>
    </w:p>
    <w:p w14:paraId="65C96920">
      <w:pPr>
        <w:ind w:firstLine="480"/>
        <w:rPr>
          <w:rFonts w:ascii="宋体" w:hAnsi="宋体"/>
          <w:color w:val="auto"/>
        </w:rPr>
      </w:pPr>
      <w:r>
        <w:rPr>
          <w:rFonts w:hint="eastAsia" w:ascii="宋体" w:hAnsi="宋体"/>
          <w:color w:val="auto"/>
        </w:rPr>
        <w:t>“四节一环保”绿色施工要点中的重点，我公司将在本工程的建设中制定绿色施工及环境保护管理的措施。在保证质量、安全等基本要求的前提下，通过科学管理和技术进步，最大限度地开展节能、节水、节地、节材活动，减少对环境负面影响。</w:t>
      </w:r>
    </w:p>
    <w:p w14:paraId="02B85DA3">
      <w:pPr>
        <w:pStyle w:val="64"/>
        <w:spacing w:before="156" w:after="156"/>
        <w:rPr>
          <w:rFonts w:hint="eastAsia"/>
          <w:color w:val="auto"/>
        </w:rPr>
      </w:pPr>
      <w:r>
        <w:rPr>
          <w:color w:val="auto"/>
          <w:shd w:val="clear" w:color="auto" w:fill="FFFFFF"/>
        </w:rPr>
        <w:drawing>
          <wp:inline distT="0" distB="0" distL="114300" distR="114300">
            <wp:extent cx="4192905" cy="2212340"/>
            <wp:effectExtent l="0" t="0" r="10795" b="1016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26"/>
                    <a:stretch>
                      <a:fillRect/>
                    </a:stretch>
                  </pic:blipFill>
                  <pic:spPr>
                    <a:xfrm>
                      <a:off x="0" y="0"/>
                      <a:ext cx="4192905" cy="2212340"/>
                    </a:xfrm>
                    <a:prstGeom prst="rect">
                      <a:avLst/>
                    </a:prstGeom>
                    <a:noFill/>
                    <a:ln>
                      <a:noFill/>
                    </a:ln>
                  </pic:spPr>
                </pic:pic>
              </a:graphicData>
            </a:graphic>
          </wp:inline>
        </w:drawing>
      </w:r>
    </w:p>
    <w:p w14:paraId="063E0713">
      <w:pPr>
        <w:pStyle w:val="17"/>
        <w:ind w:firstLine="480"/>
        <w:rPr>
          <w:rFonts w:hint="eastAsia"/>
          <w:color w:val="auto"/>
        </w:rPr>
        <w:sectPr>
          <w:headerReference r:id="rId19" w:type="default"/>
          <w:pgSz w:w="11906" w:h="16838"/>
          <w:pgMar w:top="1418" w:right="1418" w:bottom="1418" w:left="1418" w:header="851" w:footer="992" w:gutter="0"/>
          <w:cols w:space="720" w:num="1"/>
          <w:docGrid w:type="lines" w:linePitch="312" w:charSpace="0"/>
        </w:sectPr>
      </w:pPr>
    </w:p>
    <w:p w14:paraId="713FD6FF">
      <w:pPr>
        <w:pStyle w:val="3"/>
        <w:rPr>
          <w:color w:val="auto"/>
        </w:rPr>
      </w:pPr>
      <w:bookmarkStart w:id="11" w:name="_Toc24189"/>
      <w:r>
        <w:rPr>
          <w:rFonts w:hint="eastAsia"/>
          <w:color w:val="auto"/>
        </w:rPr>
        <w:t>绿色施工管理</w:t>
      </w:r>
      <w:bookmarkEnd w:id="11"/>
    </w:p>
    <w:p w14:paraId="425818E0">
      <w:pPr>
        <w:pStyle w:val="4"/>
        <w:rPr>
          <w:color w:val="auto"/>
        </w:rPr>
      </w:pPr>
      <w:bookmarkStart w:id="12" w:name="_Toc11544"/>
      <w:r>
        <w:rPr>
          <w:rFonts w:hint="eastAsia"/>
          <w:color w:val="auto"/>
        </w:rPr>
        <w:t>绿色施工总体框架</w:t>
      </w:r>
      <w:bookmarkEnd w:id="12"/>
    </w:p>
    <w:p w14:paraId="0B165A8E">
      <w:pPr>
        <w:ind w:firstLine="480"/>
        <w:rPr>
          <w:rFonts w:hint="eastAsia"/>
          <w:color w:val="auto"/>
        </w:rPr>
      </w:pPr>
      <w:r>
        <w:rPr>
          <w:rFonts w:hint="eastAsia"/>
          <w:color w:val="auto"/>
        </w:rPr>
        <w:t>绿</w:t>
      </w:r>
      <w:bookmarkStart w:id="13" w:name="OLE_LINK1"/>
      <w:r>
        <w:rPr>
          <w:rFonts w:hint="eastAsia"/>
          <w:color w:val="auto"/>
        </w:rPr>
        <w:t>色施工总体框架由施工管理、环境保护、节材与材料资源利用、节水与水资源利用、节能与能源利用、节地与施工用地保护六个方面组成，如下图所示。这六个方面涵盖了绿色施工的基</w:t>
      </w:r>
      <w:bookmarkEnd w:id="13"/>
      <w:r>
        <w:rPr>
          <w:rFonts w:hint="eastAsia"/>
          <w:color w:val="auto"/>
        </w:rPr>
        <w:t>本指标，同时包含了施工策划、材料采购、现场施工、工程验收等各阶段的指标的子集。</w:t>
      </w:r>
    </w:p>
    <w:p w14:paraId="3D15E2AA">
      <w:pPr>
        <w:ind w:firstLine="480"/>
        <w:rPr>
          <w:rFonts w:hint="eastAsia"/>
          <w:color w:val="auto"/>
        </w:rPr>
      </w:pPr>
      <w:r>
        <w:rPr>
          <w:color w:val="auto"/>
        </w:rPr>
        <w:drawing>
          <wp:inline distT="0" distB="0" distL="114300" distR="114300">
            <wp:extent cx="5408930" cy="2906395"/>
            <wp:effectExtent l="0" t="0" r="1270" b="1905"/>
            <wp:docPr id="3" name="图片 2" descr="wp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wps7"/>
                    <pic:cNvPicPr>
                      <a:picLocks noChangeAspect="1"/>
                    </pic:cNvPicPr>
                  </pic:nvPicPr>
                  <pic:blipFill>
                    <a:blip r:embed="rId27"/>
                    <a:stretch>
                      <a:fillRect/>
                    </a:stretch>
                  </pic:blipFill>
                  <pic:spPr>
                    <a:xfrm>
                      <a:off x="0" y="0"/>
                      <a:ext cx="5408930" cy="2906395"/>
                    </a:xfrm>
                    <a:prstGeom prst="rect">
                      <a:avLst/>
                    </a:prstGeom>
                    <a:noFill/>
                    <a:ln>
                      <a:noFill/>
                    </a:ln>
                  </pic:spPr>
                </pic:pic>
              </a:graphicData>
            </a:graphic>
          </wp:inline>
        </w:drawing>
      </w:r>
      <w:r>
        <w:rPr>
          <w:rFonts w:hint="eastAsia"/>
          <w:color w:val="auto"/>
        </w:rPr>
        <w:t xml:space="preserve"> </w:t>
      </w:r>
    </w:p>
    <w:p w14:paraId="4DFE0FC0">
      <w:pPr>
        <w:pStyle w:val="63"/>
        <w:rPr>
          <w:rFonts w:hint="eastAsia"/>
          <w:color w:val="auto"/>
        </w:rPr>
      </w:pPr>
      <w:r>
        <w:rPr>
          <w:rFonts w:hint="eastAsia"/>
          <w:color w:val="auto"/>
        </w:rPr>
        <w:t>绿色施工总体框架</w:t>
      </w:r>
    </w:p>
    <w:p w14:paraId="31892892">
      <w:pPr>
        <w:pStyle w:val="7"/>
        <w:rPr>
          <w:color w:val="auto"/>
        </w:rPr>
      </w:pPr>
      <w:bookmarkStart w:id="14" w:name="_Toc16772"/>
      <w:r>
        <w:rPr>
          <w:rFonts w:hint="eastAsia"/>
          <w:color w:val="auto"/>
        </w:rPr>
        <w:t>组织管理</w:t>
      </w:r>
      <w:bookmarkEnd w:id="14"/>
    </w:p>
    <w:p w14:paraId="54D667A6">
      <w:pPr>
        <w:pStyle w:val="8"/>
        <w:rPr>
          <w:rFonts w:hint="eastAsia"/>
          <w:color w:val="auto"/>
        </w:rPr>
      </w:pPr>
      <w:r>
        <w:rPr>
          <w:rFonts w:hint="eastAsia"/>
          <w:color w:val="auto"/>
        </w:rPr>
        <w:t>组织机构</w:t>
      </w:r>
    </w:p>
    <w:p w14:paraId="04B007BE">
      <w:pPr>
        <w:ind w:firstLine="480"/>
        <w:rPr>
          <w:rFonts w:ascii="宋体" w:hAnsi="宋体"/>
          <w:color w:val="auto"/>
        </w:rPr>
      </w:pPr>
      <w:r>
        <w:rPr>
          <w:rFonts w:hint="eastAsia" w:ascii="宋体" w:hAnsi="宋体"/>
          <w:color w:val="auto"/>
        </w:rPr>
        <w:t>成立项目绿色施工管理机构，设立三级管理制度：一级公司技术支持、二级项目统一管理，三级分包具体实施。</w:t>
      </w:r>
    </w:p>
    <w:p w14:paraId="2CB6ED5A">
      <w:pPr>
        <w:pStyle w:val="64"/>
        <w:spacing w:before="156" w:after="156"/>
        <w:rPr>
          <w:color w:val="auto"/>
        </w:rPr>
      </w:pPr>
      <w:r>
        <w:rPr>
          <w:color w:val="auto"/>
        </w:rPr>
        <w:drawing>
          <wp:inline distT="0" distB="0" distL="114300" distR="114300">
            <wp:extent cx="4521835" cy="2308225"/>
            <wp:effectExtent l="0" t="0" r="12065" b="3175"/>
            <wp:docPr id="4" name="图片 1" descr="C:\Users\cscec\Documents\Tencent Files\286945708\Image\Image1\VBN21AN{6JU8N%PU)JOIL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Users\cscec\Documents\Tencent Files\286945708\Image\Image1\VBN21AN{6JU8N%PU)JOIL4K.jpg"/>
                    <pic:cNvPicPr>
                      <a:picLocks noChangeAspect="1"/>
                    </pic:cNvPicPr>
                  </pic:nvPicPr>
                  <pic:blipFill>
                    <a:blip r:embed="rId28"/>
                    <a:stretch>
                      <a:fillRect/>
                    </a:stretch>
                  </pic:blipFill>
                  <pic:spPr>
                    <a:xfrm>
                      <a:off x="0" y="0"/>
                      <a:ext cx="4521835" cy="2308225"/>
                    </a:xfrm>
                    <a:prstGeom prst="rect">
                      <a:avLst/>
                    </a:prstGeom>
                    <a:noFill/>
                    <a:ln>
                      <a:noFill/>
                    </a:ln>
                  </pic:spPr>
                </pic:pic>
              </a:graphicData>
            </a:graphic>
          </wp:inline>
        </w:drawing>
      </w:r>
    </w:p>
    <w:p w14:paraId="08EEC00A">
      <w:pPr>
        <w:pStyle w:val="63"/>
        <w:rPr>
          <w:color w:val="auto"/>
        </w:rPr>
      </w:pPr>
      <w:r>
        <w:rPr>
          <w:rFonts w:hint="eastAsia"/>
          <w:color w:val="auto"/>
        </w:rPr>
        <w:t>绿色施工管理组织机构</w:t>
      </w:r>
    </w:p>
    <w:p w14:paraId="6F5C60C2">
      <w:pPr>
        <w:ind w:firstLine="480"/>
        <w:rPr>
          <w:rFonts w:hint="eastAsia" w:ascii="宋体" w:hAnsi="宋体"/>
          <w:color w:val="auto"/>
        </w:rPr>
      </w:pPr>
      <w:r>
        <w:rPr>
          <w:rFonts w:hint="eastAsia" w:ascii="宋体" w:hAnsi="宋体"/>
          <w:color w:val="auto"/>
        </w:rPr>
        <w:t>公司技术支持：由公司总工和技术部组成。其主要的职责：策划创建工作计划，下达绿色施工目标，提供必需的资源，协调解决创建过程中的重大问题，指导开发绿色施工创新技术，引进节能产品，项目绿色施工方案的审批，组织对创建活动的阶段评估和考核。</w:t>
      </w:r>
    </w:p>
    <w:p w14:paraId="6D5D5B5E">
      <w:pPr>
        <w:ind w:firstLine="480"/>
        <w:rPr>
          <w:rFonts w:hint="eastAsia" w:ascii="宋体" w:hAnsi="宋体"/>
          <w:color w:val="auto"/>
        </w:rPr>
      </w:pPr>
      <w:r>
        <w:rPr>
          <w:rFonts w:hint="eastAsia" w:ascii="宋体" w:hAnsi="宋体"/>
          <w:color w:val="auto"/>
        </w:rPr>
        <w:t>项目统一管理：由项目经理牵头，项目其他管理人员组成。其主要职责：创建计划的组织实施，分解落实项目绿色施工目标，编制绿色施工方案，组织开发绿色施工技术，落实相关人员的岗位职责，制定项目绿色施工制度，保持绿色施工节能降耗设备、实施的完整完好，保证相关记录、台账的及时、真实、完整；进行日常的检查和考核，落实上级布置的相关工作，管理和督促现场作业人员合理使用材料和周转设备，杜绝浪费现象。</w:t>
      </w:r>
    </w:p>
    <w:p w14:paraId="76654A8A">
      <w:pPr>
        <w:ind w:firstLine="480"/>
        <w:rPr>
          <w:rFonts w:ascii="宋体" w:hAnsi="宋体"/>
          <w:color w:val="auto"/>
        </w:rPr>
      </w:pPr>
      <w:r>
        <w:rPr>
          <w:rFonts w:hint="eastAsia" w:ascii="宋体" w:hAnsi="宋体"/>
          <w:color w:val="auto"/>
        </w:rPr>
        <w:t>分包具体实施：由各个分包劳务队伍组成。其主要的职责：配合项目方案的实施，落实项目制定的各项绿色施工方案，对现场的实际问题提出切实可行意见等。</w:t>
      </w:r>
    </w:p>
    <w:p w14:paraId="05A9EC8D">
      <w:pPr>
        <w:pStyle w:val="8"/>
        <w:rPr>
          <w:color w:val="auto"/>
        </w:rPr>
      </w:pPr>
      <w:r>
        <w:rPr>
          <w:rFonts w:hint="eastAsia"/>
          <w:color w:val="auto"/>
        </w:rPr>
        <w:t>管理职责</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1297"/>
        <w:gridCol w:w="7200"/>
      </w:tblGrid>
      <w:tr w14:paraId="078E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425" w:type="pct"/>
            <w:noWrap w:val="0"/>
            <w:vAlign w:val="center"/>
          </w:tcPr>
          <w:p w14:paraId="42D581FE">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序号</w:t>
            </w:r>
          </w:p>
        </w:tc>
        <w:tc>
          <w:tcPr>
            <w:tcW w:w="698" w:type="pct"/>
            <w:noWrap w:val="0"/>
            <w:vAlign w:val="center"/>
          </w:tcPr>
          <w:p w14:paraId="6FE2F209">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岗位</w:t>
            </w:r>
            <w:r>
              <w:rPr>
                <w:rFonts w:hint="eastAsia"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rPr>
              <w:t>部门</w:t>
            </w:r>
          </w:p>
        </w:tc>
        <w:tc>
          <w:tcPr>
            <w:tcW w:w="3875" w:type="pct"/>
            <w:noWrap w:val="0"/>
            <w:vAlign w:val="center"/>
          </w:tcPr>
          <w:p w14:paraId="5856BEE4">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管理职责</w:t>
            </w:r>
          </w:p>
        </w:tc>
      </w:tr>
      <w:tr w14:paraId="75AAA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5" w:type="pct"/>
            <w:noWrap w:val="0"/>
            <w:vAlign w:val="center"/>
          </w:tcPr>
          <w:p w14:paraId="7FB3436E">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698" w:type="pct"/>
            <w:noWrap w:val="0"/>
            <w:vAlign w:val="center"/>
          </w:tcPr>
          <w:p w14:paraId="0A23BFF5">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项目经理：</w:t>
            </w:r>
          </w:p>
          <w:p w14:paraId="0E12C727">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吴豪</w:t>
            </w:r>
          </w:p>
        </w:tc>
        <w:tc>
          <w:tcPr>
            <w:tcW w:w="3875" w:type="pct"/>
            <w:noWrap w:val="0"/>
            <w:vAlign w:val="center"/>
          </w:tcPr>
          <w:p w14:paraId="6D7A8A93">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1）贯彻国家及地方环境保护法律、法规、标准及文件规定。</w:t>
            </w:r>
          </w:p>
          <w:p w14:paraId="3CC54AFF">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2）负责建立健全项目绿色施工及环境保护管理体系，组织体系运行管理。</w:t>
            </w:r>
          </w:p>
          <w:p w14:paraId="04EC6B2F">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3）负责组织制定项目绿色施工及环境保护制度。</w:t>
            </w:r>
          </w:p>
          <w:p w14:paraId="653576C9">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4）负责分解环境目标，落实到人，并考核。</w:t>
            </w:r>
          </w:p>
        </w:tc>
      </w:tr>
      <w:tr w14:paraId="34F3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6" w:hRule="atLeast"/>
          <w:jc w:val="center"/>
        </w:trPr>
        <w:tc>
          <w:tcPr>
            <w:tcW w:w="425" w:type="pct"/>
            <w:noWrap w:val="0"/>
            <w:vAlign w:val="center"/>
          </w:tcPr>
          <w:p w14:paraId="40B06D85">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w:t>
            </w:r>
          </w:p>
        </w:tc>
        <w:tc>
          <w:tcPr>
            <w:tcW w:w="698" w:type="pct"/>
            <w:noWrap w:val="0"/>
            <w:vAlign w:val="center"/>
          </w:tcPr>
          <w:p w14:paraId="5310569A">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项目工程部:</w:t>
            </w:r>
          </w:p>
          <w:p w14:paraId="546EE5ED">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张林武</w:t>
            </w:r>
          </w:p>
        </w:tc>
        <w:tc>
          <w:tcPr>
            <w:tcW w:w="3875" w:type="pct"/>
            <w:noWrap w:val="0"/>
            <w:vAlign w:val="center"/>
          </w:tcPr>
          <w:p w14:paraId="4F6CC87A">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1）组织生产，遵守环境管理制度，落实环境保护措施，确保实现环境目标。</w:t>
            </w:r>
          </w:p>
          <w:p w14:paraId="6C8999BA">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2）采取节能降耗措施，控制施工综合能耗达到项目策划要求，污染物达标排放。</w:t>
            </w:r>
          </w:p>
          <w:p w14:paraId="0B4582A7">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3）组织环境管理工作信息分析，编制项目的纠正和预防、改进措施，组织修订环境管理制度。</w:t>
            </w:r>
          </w:p>
        </w:tc>
      </w:tr>
      <w:tr w14:paraId="7F5D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425" w:type="pct"/>
            <w:noWrap w:val="0"/>
            <w:vAlign w:val="center"/>
          </w:tcPr>
          <w:p w14:paraId="31352C12">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w:t>
            </w:r>
          </w:p>
        </w:tc>
        <w:tc>
          <w:tcPr>
            <w:tcW w:w="698" w:type="pct"/>
            <w:noWrap w:val="0"/>
            <w:vAlign w:val="center"/>
          </w:tcPr>
          <w:p w14:paraId="4C07FEAA">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项目技术部：</w:t>
            </w:r>
          </w:p>
          <w:p w14:paraId="5E0CC184">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陈冠光</w:t>
            </w:r>
          </w:p>
        </w:tc>
        <w:tc>
          <w:tcPr>
            <w:tcW w:w="3875" w:type="pct"/>
            <w:noWrap w:val="0"/>
            <w:vAlign w:val="center"/>
          </w:tcPr>
          <w:p w14:paraId="2D57B5F1">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1）协助项目经理制定绿色施工及环境保护各项规章制度，并监督实施。</w:t>
            </w:r>
          </w:p>
          <w:p w14:paraId="50DF1C49">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2）主持编制项目绿色施工方案、项目环境管理方案、管理规划，落实责任并组织实施；组织项目经理部的环境意识教育和环保措施培训。</w:t>
            </w:r>
          </w:p>
          <w:p w14:paraId="582B9742">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3）组织人员进行环境因素辨识，编制重大环境因素清单和环境保护措施，组织环保措施交底并督促措施的落实。</w:t>
            </w:r>
          </w:p>
          <w:p w14:paraId="57B62C7D">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4）参加环保检查和监测，并根据监测结果，确定是否需要采取更为严格的防控措施，确保现场污染排放控制在国家及深圳市有关环保法规的允许范围内。</w:t>
            </w:r>
          </w:p>
        </w:tc>
      </w:tr>
      <w:tr w14:paraId="7C56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8" w:hRule="atLeast"/>
          <w:jc w:val="center"/>
        </w:trPr>
        <w:tc>
          <w:tcPr>
            <w:tcW w:w="425" w:type="pct"/>
            <w:noWrap w:val="0"/>
            <w:vAlign w:val="center"/>
          </w:tcPr>
          <w:p w14:paraId="2B27E33F">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w:t>
            </w:r>
          </w:p>
        </w:tc>
        <w:tc>
          <w:tcPr>
            <w:tcW w:w="698" w:type="pct"/>
            <w:noWrap w:val="0"/>
            <w:vAlign w:val="center"/>
          </w:tcPr>
          <w:p w14:paraId="598D1039">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项目安全部：</w:t>
            </w:r>
          </w:p>
          <w:p w14:paraId="7855FA5E">
            <w:pPr>
              <w:spacing w:line="240" w:lineRule="auto"/>
              <w:ind w:firstLine="0" w:firstLine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曹小龙</w:t>
            </w:r>
          </w:p>
        </w:tc>
        <w:tc>
          <w:tcPr>
            <w:tcW w:w="3875" w:type="pct"/>
            <w:noWrap w:val="0"/>
            <w:vAlign w:val="center"/>
          </w:tcPr>
          <w:p w14:paraId="6A199877">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1）对项目环境管理负直接领导责任，协助项目经理制定相关环境制度。</w:t>
            </w:r>
          </w:p>
          <w:p w14:paraId="5453E727">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2）落实有关环境管理规定，对工人进行环保教育和培训，强化职工环境保护意识。</w:t>
            </w:r>
          </w:p>
          <w:p w14:paraId="335507A9">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3）组织现场环境管理的检查和环保监测，出现问题及时处理。</w:t>
            </w:r>
          </w:p>
          <w:p w14:paraId="695366E1">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4）协助考核环境目标的实现情况。</w:t>
            </w:r>
          </w:p>
          <w:p w14:paraId="2AACAC2D">
            <w:pPr>
              <w:spacing w:line="240" w:lineRule="auto"/>
              <w:ind w:firstLine="0" w:firstLineChars="0"/>
              <w:jc w:val="left"/>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5）做好绿色施工的教育、监督、服务、检查工作，完善项目绿色施工制度。</w:t>
            </w:r>
          </w:p>
        </w:tc>
      </w:tr>
    </w:tbl>
    <w:p w14:paraId="5C0A5EA7">
      <w:pPr>
        <w:pStyle w:val="7"/>
        <w:rPr>
          <w:color w:val="auto"/>
        </w:rPr>
      </w:pPr>
      <w:bookmarkStart w:id="15" w:name="_Toc8187"/>
      <w:r>
        <w:rPr>
          <w:rFonts w:hint="eastAsia"/>
          <w:color w:val="auto"/>
        </w:rPr>
        <w:t>规划管理</w:t>
      </w:r>
      <w:bookmarkEnd w:id="15"/>
    </w:p>
    <w:p w14:paraId="3056AE0C">
      <w:pPr>
        <w:ind w:firstLine="480"/>
        <w:rPr>
          <w:rFonts w:hint="eastAsia" w:ascii="宋体" w:hAnsi="宋体"/>
          <w:color w:val="auto"/>
        </w:rPr>
      </w:pPr>
      <w:r>
        <w:rPr>
          <w:rFonts w:hint="eastAsia" w:ascii="宋体" w:hAnsi="宋体"/>
          <w:color w:val="auto"/>
        </w:rPr>
        <w:t>（1）环境保护措施，制定环境管理计划及应急救援预案,采取有效措施，降低环境负荷；</w:t>
      </w:r>
    </w:p>
    <w:p w14:paraId="41BE7301">
      <w:pPr>
        <w:ind w:firstLine="480"/>
        <w:rPr>
          <w:rFonts w:hint="eastAsia" w:ascii="宋体" w:hAnsi="宋体"/>
          <w:color w:val="auto"/>
        </w:rPr>
      </w:pPr>
      <w:r>
        <w:rPr>
          <w:rFonts w:hint="eastAsia" w:ascii="宋体" w:hAnsi="宋体"/>
          <w:color w:val="auto"/>
        </w:rPr>
        <w:t>（2）节材措施，在保证工程安全与质量的前提下，制定节材措施。如进行施工方案的节材优化，尽量避免工地现场材料浪费，建筑垃圾减量化，尽量利用可循环材料等；</w:t>
      </w:r>
    </w:p>
    <w:p w14:paraId="6065E193">
      <w:pPr>
        <w:ind w:firstLine="480"/>
        <w:rPr>
          <w:rFonts w:hint="eastAsia" w:ascii="宋体" w:hAnsi="宋体"/>
          <w:color w:val="auto"/>
        </w:rPr>
      </w:pPr>
      <w:r>
        <w:rPr>
          <w:rFonts w:hint="eastAsia" w:ascii="宋体" w:hAnsi="宋体"/>
          <w:color w:val="auto"/>
        </w:rPr>
        <w:t>（3）节水措施，根据工程所在地的水资源状况，制定节水措施；</w:t>
      </w:r>
    </w:p>
    <w:p w14:paraId="42A02CA8">
      <w:pPr>
        <w:ind w:firstLine="480"/>
        <w:rPr>
          <w:rFonts w:hint="eastAsia" w:ascii="宋体" w:hAnsi="宋体"/>
          <w:color w:val="auto"/>
        </w:rPr>
      </w:pPr>
      <w:r>
        <w:rPr>
          <w:rFonts w:hint="eastAsia" w:ascii="宋体" w:hAnsi="宋体"/>
          <w:color w:val="auto"/>
        </w:rPr>
        <w:t>（4）节能措施，进行施工节能策划，确定目标，制定节能措施；</w:t>
      </w:r>
    </w:p>
    <w:p w14:paraId="68608304">
      <w:pPr>
        <w:ind w:firstLine="480"/>
        <w:rPr>
          <w:rFonts w:ascii="宋体" w:hAnsi="宋体"/>
          <w:color w:val="auto"/>
        </w:rPr>
      </w:pPr>
      <w:r>
        <w:rPr>
          <w:rFonts w:hint="eastAsia" w:ascii="宋体" w:hAnsi="宋体"/>
          <w:color w:val="auto"/>
        </w:rPr>
        <w:t>（5）节地与施工用地保护措施，施工总平面布置规划及临时用地节地措施等。</w:t>
      </w:r>
    </w:p>
    <w:p w14:paraId="004560C1">
      <w:pPr>
        <w:pStyle w:val="64"/>
        <w:spacing w:before="156" w:after="156"/>
        <w:rPr>
          <w:color w:val="auto"/>
        </w:rPr>
      </w:pPr>
      <w:r>
        <w:rPr>
          <w:rFonts w:hint="eastAsia"/>
          <w:color w:val="auto"/>
        </w:rPr>
        <w:drawing>
          <wp:inline distT="0" distB="0" distL="114300" distR="114300">
            <wp:extent cx="3782695" cy="3279775"/>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9"/>
                    <a:stretch>
                      <a:fillRect/>
                    </a:stretch>
                  </pic:blipFill>
                  <pic:spPr>
                    <a:xfrm>
                      <a:off x="0" y="0"/>
                      <a:ext cx="3782695" cy="3279775"/>
                    </a:xfrm>
                    <a:prstGeom prst="rect">
                      <a:avLst/>
                    </a:prstGeom>
                    <a:noFill/>
                    <a:ln>
                      <a:noFill/>
                    </a:ln>
                  </pic:spPr>
                </pic:pic>
              </a:graphicData>
            </a:graphic>
          </wp:inline>
        </w:drawing>
      </w:r>
    </w:p>
    <w:p w14:paraId="2DBAD96F">
      <w:pPr>
        <w:pStyle w:val="63"/>
        <w:rPr>
          <w:rFonts w:hint="eastAsia"/>
          <w:color w:val="auto"/>
        </w:rPr>
      </w:pPr>
      <w:r>
        <w:rPr>
          <w:rFonts w:hint="eastAsia"/>
          <w:color w:val="auto"/>
        </w:rPr>
        <w:t>绿色施工规划管理流程图</w:t>
      </w:r>
    </w:p>
    <w:p w14:paraId="1118EFA9">
      <w:pPr>
        <w:pStyle w:val="7"/>
        <w:rPr>
          <w:color w:val="auto"/>
        </w:rPr>
      </w:pPr>
      <w:bookmarkStart w:id="16" w:name="_Toc7189"/>
      <w:r>
        <w:rPr>
          <w:rFonts w:hint="eastAsia"/>
          <w:color w:val="auto"/>
        </w:rPr>
        <w:t>实施管理</w:t>
      </w:r>
      <w:bookmarkEnd w:id="16"/>
    </w:p>
    <w:p w14:paraId="52EC8AFE">
      <w:pPr>
        <w:ind w:firstLine="480"/>
        <w:rPr>
          <w:rFonts w:hint="eastAsia" w:ascii="宋体" w:hAnsi="宋体"/>
          <w:color w:val="auto"/>
        </w:rPr>
      </w:pPr>
      <w:r>
        <w:rPr>
          <w:rFonts w:hint="eastAsia" w:ascii="宋体" w:hAnsi="宋体"/>
          <w:color w:val="auto"/>
        </w:rPr>
        <w:t>1．大力宣传“绿色施工”，增强全员“绿色施工”的意识，提高全员综合素质，使每个施工者和管理者从自我做起，自觉爱护施工现场的一草一绿，节约用材、用水、用电、用纸，不乱扔废弃物，保持现场环境整洁，实现“绿色施工”。</w:t>
      </w:r>
    </w:p>
    <w:p w14:paraId="38EB3823">
      <w:pPr>
        <w:ind w:firstLine="480"/>
        <w:rPr>
          <w:rFonts w:hint="eastAsia" w:ascii="宋体" w:hAnsi="宋体"/>
          <w:color w:val="auto"/>
        </w:rPr>
      </w:pPr>
      <w:r>
        <w:rPr>
          <w:rFonts w:hint="eastAsia" w:ascii="宋体" w:hAnsi="宋体"/>
          <w:color w:val="auto"/>
        </w:rPr>
        <w:t xml:space="preserve">2．项目编制绿色施工作业指导书、环保教育计划，进行培训，企业总部定期检查、考核培训效果，建立奖罚制，责任到人。其中对可能产生重大环境影响的操作人员除通过作业指导书指导外，还要通过现场实地演习的方式考核，并做详细记录。  </w:t>
      </w:r>
    </w:p>
    <w:p w14:paraId="44BD5921">
      <w:pPr>
        <w:ind w:firstLine="480"/>
        <w:rPr>
          <w:rFonts w:hint="eastAsia" w:ascii="宋体" w:hAnsi="宋体"/>
          <w:color w:val="auto"/>
        </w:rPr>
      </w:pPr>
      <w:r>
        <w:rPr>
          <w:rFonts w:hint="eastAsia" w:ascii="宋体" w:hAnsi="宋体"/>
          <w:color w:val="auto"/>
        </w:rPr>
        <w:t>3．在施工过程中对整个施工过程实施动态管理，加强对施工策划、施工准备、材料采购、现场施工、工程验收等各阶段的管理和监督。</w:t>
      </w:r>
    </w:p>
    <w:p w14:paraId="1401CBD9">
      <w:pPr>
        <w:ind w:firstLine="480"/>
        <w:rPr>
          <w:rFonts w:ascii="宋体" w:hAnsi="宋体"/>
          <w:color w:val="auto"/>
        </w:rPr>
      </w:pPr>
      <w:r>
        <w:rPr>
          <w:rFonts w:hint="eastAsia" w:ascii="宋体" w:hAnsi="宋体"/>
          <w:color w:val="auto"/>
        </w:rPr>
        <w:t>4．结合工程项目的特点，有针对性地对绿色施工作相应的宣传，通过宣传营造绿色施工的氛围。定期对职工进行绿色施工知识培训，增强职工绿色施工意识。</w:t>
      </w:r>
    </w:p>
    <w:p w14:paraId="0B137B8F">
      <w:pPr>
        <w:pStyle w:val="64"/>
        <w:spacing w:before="156" w:after="156"/>
        <w:rPr>
          <w:rFonts w:hint="eastAsia"/>
          <w:color w:val="auto"/>
        </w:rPr>
      </w:pPr>
      <w:r>
        <w:rPr>
          <w:rFonts w:hint="eastAsia"/>
          <w:color w:val="auto"/>
        </w:rPr>
        <w:drawing>
          <wp:inline distT="0" distB="0" distL="114300" distR="114300">
            <wp:extent cx="4532630" cy="3669030"/>
            <wp:effectExtent l="0" t="0" r="0" b="127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30"/>
                    <a:stretch>
                      <a:fillRect/>
                    </a:stretch>
                  </pic:blipFill>
                  <pic:spPr>
                    <a:xfrm>
                      <a:off x="0" y="0"/>
                      <a:ext cx="4532630" cy="3669030"/>
                    </a:xfrm>
                    <a:prstGeom prst="rect">
                      <a:avLst/>
                    </a:prstGeom>
                    <a:noFill/>
                    <a:ln>
                      <a:noFill/>
                    </a:ln>
                  </pic:spPr>
                </pic:pic>
              </a:graphicData>
            </a:graphic>
          </wp:inline>
        </w:drawing>
      </w:r>
    </w:p>
    <w:p w14:paraId="53AD78C0">
      <w:pPr>
        <w:pStyle w:val="63"/>
        <w:rPr>
          <w:rFonts w:hint="eastAsia"/>
          <w:color w:val="auto"/>
        </w:rPr>
      </w:pPr>
      <w:r>
        <w:rPr>
          <w:rFonts w:hint="eastAsia"/>
          <w:color w:val="auto"/>
        </w:rPr>
        <w:t>绿色施工实施管理流程</w:t>
      </w:r>
    </w:p>
    <w:p w14:paraId="61349F72">
      <w:pPr>
        <w:pStyle w:val="7"/>
        <w:rPr>
          <w:color w:val="auto"/>
        </w:rPr>
      </w:pPr>
      <w:bookmarkStart w:id="17" w:name="_Toc24889"/>
      <w:r>
        <w:rPr>
          <w:rFonts w:hint="eastAsia"/>
          <w:color w:val="auto"/>
        </w:rPr>
        <w:t>评价管理</w:t>
      </w:r>
      <w:bookmarkEnd w:id="17"/>
    </w:p>
    <w:p w14:paraId="0D0978A3">
      <w:pPr>
        <w:ind w:firstLine="480"/>
        <w:rPr>
          <w:rFonts w:hint="eastAsia" w:ascii="宋体" w:hAnsi="宋体"/>
          <w:color w:val="auto"/>
        </w:rPr>
      </w:pPr>
      <w:r>
        <w:rPr>
          <w:rFonts w:hint="eastAsia" w:ascii="宋体" w:hAnsi="宋体"/>
          <w:color w:val="auto"/>
        </w:rPr>
        <w:t>1．根据绿色施工方案的具体内容，结合本工程设计及施工特点，对绿色施工的效果及采用的新技术、新设备、新材料与新工艺，进行自我评估。</w:t>
      </w:r>
    </w:p>
    <w:p w14:paraId="3A35FFAD">
      <w:pPr>
        <w:ind w:firstLine="480"/>
        <w:rPr>
          <w:rFonts w:ascii="宋体" w:hAnsi="宋体"/>
          <w:color w:val="auto"/>
        </w:rPr>
      </w:pPr>
      <w:r>
        <w:rPr>
          <w:rFonts w:hint="eastAsia" w:ascii="宋体" w:hAnsi="宋体"/>
          <w:color w:val="auto"/>
        </w:rPr>
        <w:t>2．成立专业绿色施工评估小组，对绿色施工方案、实施过程至项目竣工，进行综合评估。</w:t>
      </w:r>
    </w:p>
    <w:p w14:paraId="3EE1623D">
      <w:pPr>
        <w:pStyle w:val="64"/>
        <w:spacing w:before="156" w:after="156"/>
        <w:rPr>
          <w:rFonts w:hint="eastAsia"/>
          <w:color w:val="auto"/>
        </w:rPr>
      </w:pPr>
      <w:r>
        <w:rPr>
          <w:color w:val="auto"/>
        </w:rPr>
        <w:drawing>
          <wp:inline distT="0" distB="0" distL="114300" distR="114300">
            <wp:extent cx="3686810" cy="2116455"/>
            <wp:effectExtent l="0" t="0" r="8890" b="4445"/>
            <wp:docPr id="7" name="图片 15" descr="QQ图片20171114160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5" descr="QQ图片20171114160642"/>
                    <pic:cNvPicPr>
                      <a:picLocks noChangeAspect="1"/>
                    </pic:cNvPicPr>
                  </pic:nvPicPr>
                  <pic:blipFill>
                    <a:blip r:embed="rId31"/>
                    <a:srcRect b="11180"/>
                    <a:stretch>
                      <a:fillRect/>
                    </a:stretch>
                  </pic:blipFill>
                  <pic:spPr>
                    <a:xfrm>
                      <a:off x="0" y="0"/>
                      <a:ext cx="3686810" cy="2116455"/>
                    </a:xfrm>
                    <a:prstGeom prst="rect">
                      <a:avLst/>
                    </a:prstGeom>
                    <a:noFill/>
                    <a:ln>
                      <a:noFill/>
                    </a:ln>
                  </pic:spPr>
                </pic:pic>
              </a:graphicData>
            </a:graphic>
          </wp:inline>
        </w:drawing>
      </w:r>
    </w:p>
    <w:p w14:paraId="46B8EDA9">
      <w:pPr>
        <w:pStyle w:val="7"/>
        <w:rPr>
          <w:color w:val="auto"/>
        </w:rPr>
      </w:pPr>
      <w:bookmarkStart w:id="18" w:name="_Toc9639"/>
      <w:r>
        <w:rPr>
          <w:rFonts w:hint="eastAsia"/>
          <w:color w:val="auto"/>
        </w:rPr>
        <w:t>人员安全与健康管理</w:t>
      </w:r>
      <w:bookmarkEnd w:id="18"/>
    </w:p>
    <w:p w14:paraId="705CFE73">
      <w:pPr>
        <w:ind w:firstLine="480"/>
        <w:rPr>
          <w:rFonts w:hint="eastAsia" w:ascii="宋体" w:hAnsi="宋体"/>
          <w:color w:val="auto"/>
        </w:rPr>
      </w:pPr>
      <w:r>
        <w:rPr>
          <w:rFonts w:hint="eastAsia" w:ascii="宋体" w:hAnsi="宋体"/>
          <w:color w:val="auto"/>
        </w:rPr>
        <w:t>1．在施工方案中制订施工防尘、防毒、防辐射等职业危害的措施，保障施工人员的长期职业健康。</w:t>
      </w:r>
    </w:p>
    <w:p w14:paraId="1DEC089C">
      <w:pPr>
        <w:ind w:firstLine="480"/>
        <w:rPr>
          <w:rFonts w:hint="eastAsia" w:ascii="宋体" w:hAnsi="宋体"/>
          <w:color w:val="auto"/>
        </w:rPr>
      </w:pPr>
      <w:r>
        <w:rPr>
          <w:rFonts w:hint="eastAsia" w:ascii="宋体" w:hAnsi="宋体"/>
          <w:color w:val="auto"/>
        </w:rPr>
        <w:t>2．加强“四口五临边”防护，保护作业区域内的人员安全。</w:t>
      </w:r>
    </w:p>
    <w:p w14:paraId="12B3D105">
      <w:pPr>
        <w:ind w:firstLine="480"/>
        <w:rPr>
          <w:rFonts w:hint="eastAsia" w:ascii="宋体" w:hAnsi="宋体"/>
          <w:color w:val="auto"/>
        </w:rPr>
      </w:pPr>
      <w:r>
        <w:rPr>
          <w:rFonts w:hint="eastAsia" w:ascii="宋体" w:hAnsi="宋体"/>
          <w:color w:val="auto"/>
        </w:rPr>
        <w:t>3．加强职业健康宣传教育，提高施工现场作业人员的健康、卫生急救和防疫意识，建立安全与健康管理制度，在安全事故和疾病疫情出现时提供及时救助。</w:t>
      </w:r>
    </w:p>
    <w:p w14:paraId="29F8848D">
      <w:pPr>
        <w:ind w:firstLine="480"/>
        <w:rPr>
          <w:rFonts w:hint="eastAsia" w:ascii="宋体" w:hAnsi="宋体"/>
          <w:color w:val="auto"/>
        </w:rPr>
      </w:pPr>
      <w:r>
        <w:rPr>
          <w:rFonts w:hint="eastAsia" w:ascii="宋体" w:hAnsi="宋体"/>
          <w:color w:val="auto"/>
        </w:rPr>
        <w:t>4．加强职业健康安全教育，提高现场应急措施的响应能力。</w:t>
      </w:r>
    </w:p>
    <w:p w14:paraId="43B1CB2C">
      <w:pPr>
        <w:ind w:firstLine="480"/>
        <w:rPr>
          <w:rFonts w:hint="eastAsia" w:ascii="宋体" w:hAnsi="宋体"/>
          <w:color w:val="auto"/>
        </w:rPr>
      </w:pPr>
      <w:r>
        <w:rPr>
          <w:rFonts w:hint="eastAsia" w:ascii="宋体" w:hAnsi="宋体"/>
          <w:color w:val="auto"/>
        </w:rPr>
        <w:t>5．提供卫生、健康的工作与生活环境，加强对施工人员的住宿、膳食、饮用水等生活与环境卫生等管理，明显改善施工人员的生活条件</w:t>
      </w:r>
    </w:p>
    <w:p w14:paraId="5D2260EE">
      <w:pPr>
        <w:pStyle w:val="4"/>
        <w:rPr>
          <w:rFonts w:hint="eastAsia" w:ascii="Arial" w:hAnsi="Arial" w:eastAsia="宋体" w:cs="Times New Roman"/>
          <w:b/>
          <w:bCs/>
          <w:color w:val="auto"/>
          <w:lang w:val="en-US" w:eastAsia="zh-CN"/>
        </w:rPr>
      </w:pPr>
      <w:bookmarkStart w:id="19" w:name="_Toc62402052"/>
      <w:bookmarkStart w:id="20" w:name="_Toc202510572"/>
      <w:bookmarkStart w:id="21" w:name="_Toc85603605"/>
      <w:bookmarkStart w:id="22" w:name="_Toc7232"/>
      <w:r>
        <w:rPr>
          <w:rFonts w:hint="eastAsia" w:ascii="Arial" w:hAnsi="Arial" w:eastAsia="宋体" w:cs="Times New Roman"/>
          <w:b/>
          <w:bCs/>
          <w:color w:val="auto"/>
          <w:lang w:val="en-US" w:eastAsia="zh-CN"/>
        </w:rPr>
        <w:t>绿色施工管理制度</w:t>
      </w:r>
      <w:bookmarkEnd w:id="19"/>
      <w:bookmarkEnd w:id="20"/>
      <w:bookmarkEnd w:id="21"/>
      <w:bookmarkEnd w:id="22"/>
    </w:p>
    <w:p w14:paraId="06EFBF78">
      <w:pPr>
        <w:pStyle w:val="7"/>
        <w:ind w:firstLine="0"/>
        <w:rPr>
          <w:rFonts w:ascii="宋体" w:hAnsi="宋体"/>
          <w:b w:val="0"/>
          <w:bCs w:val="0"/>
          <w:color w:val="auto"/>
        </w:rPr>
      </w:pPr>
      <w:bookmarkStart w:id="23" w:name="_Toc53530321"/>
      <w:bookmarkStart w:id="24" w:name="_Toc11894"/>
      <w:bookmarkStart w:id="25" w:name="_Toc62402053"/>
      <w:r>
        <w:rPr>
          <w:rFonts w:hint="eastAsia" w:ascii="宋体" w:hAnsi="宋体"/>
          <w:b w:val="0"/>
          <w:bCs w:val="0"/>
          <w:color w:val="auto"/>
        </w:rPr>
        <w:t>绿色施工教育制度</w:t>
      </w:r>
      <w:bookmarkEnd w:id="23"/>
      <w:bookmarkEnd w:id="24"/>
      <w:bookmarkEnd w:id="25"/>
    </w:p>
    <w:p w14:paraId="6CA2E397">
      <w:pPr>
        <w:ind w:firstLine="480"/>
        <w:rPr>
          <w:rFonts w:hint="eastAsia" w:ascii="宋体" w:hAnsi="宋体" w:eastAsia="宋体" w:cs="Times New Roman"/>
          <w:color w:val="auto"/>
        </w:rPr>
      </w:pPr>
      <w:r>
        <w:rPr>
          <w:rFonts w:hint="eastAsia" w:ascii="宋体" w:hAnsi="宋体" w:eastAsia="宋体" w:cs="Times New Roman"/>
          <w:color w:val="auto"/>
        </w:rPr>
        <w:t>项目部将通过对管理人员及施工人员组织各种形式的绿色施工教育活动，使绿色施工意识深入人心，具体如下表所示：</w:t>
      </w:r>
    </w:p>
    <w:p w14:paraId="24344924">
      <w:pPr>
        <w:pStyle w:val="77"/>
        <w:snapToGrid/>
        <w:spacing w:before="24" w:beforeLines="10" w:after="24" w:afterLines="10" w:line="432" w:lineRule="auto"/>
        <w:rPr>
          <w:rFonts w:hint="default" w:eastAsia="宋体" w:cs="Times New Roman"/>
          <w:color w:val="auto"/>
          <w:sz w:val="24"/>
          <w:szCs w:val="24"/>
          <w:lang w:val="en-US" w:eastAsia="zh-CN"/>
        </w:rPr>
      </w:pPr>
      <w:r>
        <w:rPr>
          <w:rFonts w:hint="eastAsia" w:eastAsia="宋体" w:cs="Times New Roman"/>
          <w:color w:val="auto"/>
          <w:sz w:val="24"/>
          <w:szCs w:val="24"/>
          <w:lang w:val="en-US" w:eastAsia="zh-CN"/>
        </w:rPr>
        <w:t>插表 绿色施工教育制度</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90"/>
        <w:gridCol w:w="8396"/>
      </w:tblGrid>
      <w:tr w14:paraId="25E25A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479" w:type="pct"/>
            <w:noWrap w:val="0"/>
            <w:vAlign w:val="center"/>
          </w:tcPr>
          <w:p w14:paraId="1C6D0C2F">
            <w:pPr>
              <w:pStyle w:val="61"/>
              <w:spacing w:line="240" w:lineRule="auto"/>
              <w:jc w:val="center"/>
              <w:rPr>
                <w:rFonts w:hint="eastAsia" w:eastAsia="宋体" w:cs="Times New Roman"/>
                <w:color w:val="auto"/>
              </w:rPr>
            </w:pPr>
            <w:r>
              <w:rPr>
                <w:rFonts w:hint="eastAsia" w:eastAsia="宋体" w:cs="Times New Roman"/>
                <w:color w:val="auto"/>
              </w:rPr>
              <w:t>项目</w:t>
            </w:r>
          </w:p>
        </w:tc>
        <w:tc>
          <w:tcPr>
            <w:tcW w:w="4521" w:type="pct"/>
            <w:noWrap w:val="0"/>
            <w:vAlign w:val="center"/>
          </w:tcPr>
          <w:p w14:paraId="04AE9806">
            <w:pPr>
              <w:pStyle w:val="61"/>
              <w:spacing w:line="240" w:lineRule="auto"/>
              <w:jc w:val="center"/>
              <w:rPr>
                <w:rFonts w:hint="eastAsia" w:eastAsia="宋体" w:cs="Times New Roman"/>
                <w:color w:val="auto"/>
              </w:rPr>
            </w:pPr>
            <w:r>
              <w:rPr>
                <w:rFonts w:hint="eastAsia" w:eastAsia="宋体" w:cs="Times New Roman"/>
                <w:color w:val="auto"/>
              </w:rPr>
              <w:t>主要内容</w:t>
            </w:r>
          </w:p>
        </w:tc>
      </w:tr>
      <w:tr w14:paraId="1653BD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479" w:type="pct"/>
            <w:noWrap w:val="0"/>
            <w:vAlign w:val="center"/>
          </w:tcPr>
          <w:p w14:paraId="228FE5F6">
            <w:pPr>
              <w:pStyle w:val="61"/>
              <w:spacing w:line="240" w:lineRule="auto"/>
              <w:jc w:val="center"/>
              <w:rPr>
                <w:rFonts w:hint="eastAsia" w:eastAsia="宋体" w:cs="Times New Roman"/>
                <w:color w:val="auto"/>
              </w:rPr>
            </w:pPr>
            <w:r>
              <w:rPr>
                <w:rFonts w:hint="eastAsia" w:eastAsia="宋体" w:cs="Times New Roman"/>
                <w:color w:val="auto"/>
              </w:rPr>
              <w:t>1</w:t>
            </w:r>
          </w:p>
        </w:tc>
        <w:tc>
          <w:tcPr>
            <w:tcW w:w="4521" w:type="pct"/>
            <w:noWrap w:val="0"/>
            <w:vAlign w:val="center"/>
          </w:tcPr>
          <w:p w14:paraId="7744F2FD">
            <w:pPr>
              <w:pStyle w:val="61"/>
              <w:spacing w:line="240" w:lineRule="auto"/>
              <w:jc w:val="left"/>
              <w:rPr>
                <w:rFonts w:hint="eastAsia" w:eastAsia="宋体" w:cs="Times New Roman"/>
                <w:color w:val="auto"/>
              </w:rPr>
            </w:pPr>
            <w:r>
              <w:rPr>
                <w:rFonts w:hint="eastAsia" w:eastAsia="宋体" w:cs="Times New Roman"/>
                <w:color w:val="auto"/>
              </w:rPr>
              <w:t>绿色施工教育是为了增强企业职工绿色施工意识，提高素质，确保绿色施工。</w:t>
            </w:r>
          </w:p>
        </w:tc>
      </w:tr>
      <w:tr w14:paraId="755450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479" w:type="pct"/>
            <w:noWrap w:val="0"/>
            <w:vAlign w:val="center"/>
          </w:tcPr>
          <w:p w14:paraId="40D3DCFE">
            <w:pPr>
              <w:pStyle w:val="61"/>
              <w:spacing w:line="240" w:lineRule="auto"/>
              <w:jc w:val="center"/>
              <w:rPr>
                <w:rFonts w:hint="eastAsia" w:eastAsia="宋体" w:cs="Times New Roman"/>
                <w:color w:val="auto"/>
              </w:rPr>
            </w:pPr>
            <w:r>
              <w:rPr>
                <w:rFonts w:hint="eastAsia" w:eastAsia="宋体" w:cs="Times New Roman"/>
                <w:color w:val="auto"/>
              </w:rPr>
              <w:t>2</w:t>
            </w:r>
          </w:p>
        </w:tc>
        <w:tc>
          <w:tcPr>
            <w:tcW w:w="4521" w:type="pct"/>
            <w:noWrap w:val="0"/>
            <w:vAlign w:val="center"/>
          </w:tcPr>
          <w:p w14:paraId="4AEC4FF5">
            <w:pPr>
              <w:pStyle w:val="61"/>
              <w:spacing w:line="240" w:lineRule="auto"/>
              <w:jc w:val="left"/>
              <w:rPr>
                <w:rFonts w:hint="eastAsia" w:eastAsia="宋体" w:cs="Times New Roman"/>
                <w:color w:val="auto"/>
              </w:rPr>
            </w:pPr>
            <w:r>
              <w:rPr>
                <w:rFonts w:hint="eastAsia" w:eastAsia="宋体" w:cs="Times New Roman"/>
                <w:color w:val="auto"/>
              </w:rPr>
              <w:t>绿色施工教育适用于工程项目所有从事建筑施工的人员。</w:t>
            </w:r>
          </w:p>
        </w:tc>
      </w:tr>
      <w:tr w14:paraId="7C7BC1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479" w:type="pct"/>
            <w:noWrap w:val="0"/>
            <w:vAlign w:val="center"/>
          </w:tcPr>
          <w:p w14:paraId="541E4856">
            <w:pPr>
              <w:pStyle w:val="61"/>
              <w:spacing w:line="240" w:lineRule="auto"/>
              <w:jc w:val="center"/>
              <w:rPr>
                <w:rFonts w:hint="eastAsia" w:eastAsia="宋体" w:cs="Times New Roman"/>
                <w:color w:val="auto"/>
              </w:rPr>
            </w:pPr>
            <w:r>
              <w:rPr>
                <w:rFonts w:hint="eastAsia" w:eastAsia="宋体" w:cs="Times New Roman"/>
                <w:color w:val="auto"/>
              </w:rPr>
              <w:t>3</w:t>
            </w:r>
          </w:p>
        </w:tc>
        <w:tc>
          <w:tcPr>
            <w:tcW w:w="4521" w:type="pct"/>
            <w:noWrap w:val="0"/>
            <w:vAlign w:val="center"/>
          </w:tcPr>
          <w:p w14:paraId="14C519E9">
            <w:pPr>
              <w:pStyle w:val="61"/>
              <w:spacing w:line="240" w:lineRule="auto"/>
              <w:jc w:val="left"/>
              <w:rPr>
                <w:rFonts w:hint="eastAsia" w:eastAsia="宋体" w:cs="Times New Roman"/>
                <w:color w:val="auto"/>
              </w:rPr>
            </w:pPr>
            <w:r>
              <w:rPr>
                <w:rFonts w:hint="eastAsia" w:eastAsia="宋体" w:cs="Times New Roman"/>
                <w:color w:val="auto"/>
              </w:rPr>
              <w:t>项目质量、安全部门负责绿色施工教育培训管理工作。</w:t>
            </w:r>
          </w:p>
        </w:tc>
      </w:tr>
      <w:tr w14:paraId="0BE079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479" w:type="pct"/>
            <w:noWrap w:val="0"/>
            <w:vAlign w:val="center"/>
          </w:tcPr>
          <w:p w14:paraId="45D594EE">
            <w:pPr>
              <w:pStyle w:val="61"/>
              <w:spacing w:line="240" w:lineRule="auto"/>
              <w:jc w:val="center"/>
              <w:rPr>
                <w:rFonts w:hint="eastAsia" w:eastAsia="宋体" w:cs="Times New Roman"/>
                <w:color w:val="auto"/>
              </w:rPr>
            </w:pPr>
            <w:r>
              <w:rPr>
                <w:rFonts w:hint="eastAsia" w:eastAsia="宋体" w:cs="Times New Roman"/>
                <w:color w:val="auto"/>
              </w:rPr>
              <w:t>4</w:t>
            </w:r>
          </w:p>
        </w:tc>
        <w:tc>
          <w:tcPr>
            <w:tcW w:w="4521" w:type="pct"/>
            <w:noWrap w:val="0"/>
            <w:vAlign w:val="center"/>
          </w:tcPr>
          <w:p w14:paraId="595633E1">
            <w:pPr>
              <w:pStyle w:val="61"/>
              <w:spacing w:line="240" w:lineRule="auto"/>
              <w:jc w:val="left"/>
              <w:rPr>
                <w:rFonts w:hint="eastAsia" w:eastAsia="宋体" w:cs="Times New Roman"/>
                <w:color w:val="auto"/>
              </w:rPr>
            </w:pPr>
            <w:r>
              <w:rPr>
                <w:rFonts w:hint="eastAsia" w:eastAsia="宋体" w:cs="Times New Roman"/>
                <w:color w:val="auto"/>
              </w:rPr>
              <w:t>项目全体员工必须参加定期或不定期绿色施工教育培训。</w:t>
            </w:r>
          </w:p>
        </w:tc>
      </w:tr>
      <w:tr w14:paraId="0FB9C5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479" w:type="pct"/>
            <w:noWrap w:val="0"/>
            <w:vAlign w:val="center"/>
          </w:tcPr>
          <w:p w14:paraId="6F6D5F53">
            <w:pPr>
              <w:pStyle w:val="61"/>
              <w:spacing w:line="240" w:lineRule="auto"/>
              <w:jc w:val="center"/>
              <w:rPr>
                <w:rFonts w:hint="eastAsia" w:eastAsia="宋体" w:cs="Times New Roman"/>
                <w:color w:val="auto"/>
              </w:rPr>
            </w:pPr>
            <w:r>
              <w:rPr>
                <w:rFonts w:hint="eastAsia" w:eastAsia="宋体" w:cs="Times New Roman"/>
                <w:color w:val="auto"/>
              </w:rPr>
              <w:t>5</w:t>
            </w:r>
          </w:p>
        </w:tc>
        <w:tc>
          <w:tcPr>
            <w:tcW w:w="4521" w:type="pct"/>
            <w:noWrap w:val="0"/>
            <w:vAlign w:val="center"/>
          </w:tcPr>
          <w:p w14:paraId="3B1F61AB">
            <w:pPr>
              <w:pStyle w:val="61"/>
              <w:spacing w:line="240" w:lineRule="auto"/>
              <w:jc w:val="left"/>
              <w:rPr>
                <w:rFonts w:hint="eastAsia" w:eastAsia="宋体" w:cs="Times New Roman"/>
                <w:color w:val="auto"/>
              </w:rPr>
            </w:pPr>
            <w:r>
              <w:rPr>
                <w:rFonts w:hint="eastAsia" w:eastAsia="宋体" w:cs="Times New Roman"/>
                <w:color w:val="auto"/>
              </w:rPr>
              <w:t>项目负责人、其他管理人员和技术人员每年参加公司组织的培训学习一次，学习时间不少于30学时。</w:t>
            </w:r>
          </w:p>
        </w:tc>
      </w:tr>
      <w:tr w14:paraId="6B3BEF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479" w:type="pct"/>
            <w:noWrap w:val="0"/>
            <w:vAlign w:val="center"/>
          </w:tcPr>
          <w:p w14:paraId="1BB9E3C5">
            <w:pPr>
              <w:pStyle w:val="61"/>
              <w:spacing w:line="240" w:lineRule="auto"/>
              <w:jc w:val="center"/>
              <w:rPr>
                <w:rFonts w:hint="eastAsia" w:eastAsia="宋体" w:cs="Times New Roman"/>
                <w:color w:val="auto"/>
              </w:rPr>
            </w:pPr>
            <w:r>
              <w:rPr>
                <w:rFonts w:hint="eastAsia" w:eastAsia="宋体" w:cs="Times New Roman"/>
                <w:color w:val="auto"/>
              </w:rPr>
              <w:t>6</w:t>
            </w:r>
          </w:p>
        </w:tc>
        <w:tc>
          <w:tcPr>
            <w:tcW w:w="4521" w:type="pct"/>
            <w:noWrap w:val="0"/>
            <w:vAlign w:val="center"/>
          </w:tcPr>
          <w:p w14:paraId="6FB5B5D3">
            <w:pPr>
              <w:pStyle w:val="61"/>
              <w:spacing w:line="240" w:lineRule="auto"/>
              <w:jc w:val="left"/>
              <w:rPr>
                <w:rFonts w:hint="eastAsia" w:eastAsia="宋体" w:cs="Times New Roman"/>
                <w:color w:val="auto"/>
              </w:rPr>
            </w:pPr>
            <w:r>
              <w:rPr>
                <w:rFonts w:hint="eastAsia" w:eastAsia="宋体" w:cs="Times New Roman"/>
                <w:color w:val="auto"/>
              </w:rPr>
              <w:t>管理人员培训教育主要内容为国家的安全生产方针、政策、法律、法规、规范、标准和企业规章制度，工地制度、现场环境、工程特点及存在不安全因素等。班组教育培训主要内容：本工程安全操作规程、劳动纪律、事故教训、本班制度等。</w:t>
            </w:r>
          </w:p>
        </w:tc>
      </w:tr>
      <w:tr w14:paraId="3C0547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479" w:type="pct"/>
            <w:noWrap w:val="0"/>
            <w:vAlign w:val="center"/>
          </w:tcPr>
          <w:p w14:paraId="48E6DE40">
            <w:pPr>
              <w:pStyle w:val="61"/>
              <w:spacing w:line="240" w:lineRule="auto"/>
              <w:jc w:val="center"/>
              <w:rPr>
                <w:rFonts w:hint="eastAsia" w:eastAsia="宋体" w:cs="Times New Roman"/>
                <w:color w:val="auto"/>
              </w:rPr>
            </w:pPr>
            <w:r>
              <w:rPr>
                <w:rFonts w:hint="eastAsia" w:eastAsia="宋体" w:cs="Times New Roman"/>
                <w:color w:val="auto"/>
              </w:rPr>
              <w:t>7</w:t>
            </w:r>
          </w:p>
        </w:tc>
        <w:tc>
          <w:tcPr>
            <w:tcW w:w="4521" w:type="pct"/>
            <w:noWrap w:val="0"/>
            <w:vAlign w:val="center"/>
          </w:tcPr>
          <w:p w14:paraId="34FCA294">
            <w:pPr>
              <w:pStyle w:val="61"/>
              <w:spacing w:line="240" w:lineRule="auto"/>
              <w:jc w:val="left"/>
              <w:rPr>
                <w:rFonts w:hint="eastAsia" w:eastAsia="宋体" w:cs="Times New Roman"/>
                <w:color w:val="auto"/>
              </w:rPr>
            </w:pPr>
            <w:r>
              <w:rPr>
                <w:rFonts w:hint="eastAsia" w:eastAsia="宋体" w:cs="Times New Roman"/>
                <w:color w:val="auto"/>
              </w:rPr>
              <w:t>针对绿色施工教育培训必须作出详细记录，定期培训。</w:t>
            </w:r>
          </w:p>
        </w:tc>
      </w:tr>
    </w:tbl>
    <w:p w14:paraId="458D3D66">
      <w:pPr>
        <w:pStyle w:val="7"/>
        <w:ind w:firstLine="0"/>
        <w:rPr>
          <w:rFonts w:hint="default" w:eastAsia="宋体"/>
          <w:color w:val="auto"/>
          <w:lang w:val="en-US" w:eastAsia="zh-CN"/>
        </w:rPr>
      </w:pPr>
      <w:bookmarkStart w:id="26" w:name="_Toc4286"/>
      <w:r>
        <w:rPr>
          <w:rFonts w:hint="default" w:eastAsia="宋体"/>
          <w:color w:val="auto"/>
          <w:lang w:val="en-US" w:eastAsia="zh-CN"/>
        </w:rPr>
        <w:t>材料加工及材料堆场管理制度</w:t>
      </w:r>
      <w:bookmarkEnd w:id="26"/>
    </w:p>
    <w:p w14:paraId="7DA9220B">
      <w:pPr>
        <w:pStyle w:val="77"/>
        <w:snapToGrid/>
        <w:spacing w:before="24" w:beforeLines="10" w:after="24" w:afterLines="10" w:line="432" w:lineRule="auto"/>
        <w:rPr>
          <w:rFonts w:hint="eastAsia" w:eastAsia="宋体" w:cs="Times New Roman"/>
          <w:color w:val="auto"/>
          <w:sz w:val="24"/>
          <w:szCs w:val="24"/>
          <w:lang w:val="en-US" w:eastAsia="zh-TW"/>
        </w:rPr>
      </w:pPr>
      <w:r>
        <w:rPr>
          <w:rFonts w:hint="default" w:eastAsia="宋体" w:cs="Times New Roman"/>
          <w:color w:val="auto"/>
          <w:sz w:val="24"/>
          <w:szCs w:val="24"/>
          <w:lang w:val="en-US" w:eastAsia="zh-CN"/>
        </w:rPr>
        <w:t>插表 材</w:t>
      </w:r>
      <w:r>
        <w:rPr>
          <w:rFonts w:hint="default" w:eastAsia="宋体" w:cs="Times New Roman"/>
          <w:color w:val="auto"/>
          <w:sz w:val="24"/>
          <w:szCs w:val="24"/>
          <w:lang w:val="en-US" w:eastAsia="zh-TW"/>
        </w:rPr>
        <w:t>料加工及材料堆场管理管理制度</w:t>
      </w:r>
    </w:p>
    <w:tbl>
      <w:tblPr>
        <w:tblStyle w:val="34"/>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17"/>
        <w:gridCol w:w="7705"/>
      </w:tblGrid>
      <w:tr w14:paraId="0C9ED1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17" w:type="dxa"/>
            <w:noWrap w:val="0"/>
            <w:vAlign w:val="center"/>
          </w:tcPr>
          <w:p w14:paraId="2C23FF66">
            <w:pPr>
              <w:pStyle w:val="61"/>
              <w:spacing w:line="240" w:lineRule="auto"/>
              <w:jc w:val="center"/>
              <w:rPr>
                <w:rFonts w:hint="eastAsia" w:eastAsia="宋体" w:cs="Times New Roman"/>
                <w:color w:val="auto"/>
              </w:rPr>
            </w:pPr>
            <w:r>
              <w:rPr>
                <w:rFonts w:hint="default" w:eastAsia="宋体" w:cs="Times New Roman"/>
                <w:color w:val="auto"/>
              </w:rPr>
              <w:t>序号</w:t>
            </w:r>
          </w:p>
        </w:tc>
        <w:tc>
          <w:tcPr>
            <w:tcW w:w="7705" w:type="dxa"/>
            <w:noWrap w:val="0"/>
            <w:vAlign w:val="center"/>
          </w:tcPr>
          <w:p w14:paraId="504624B3">
            <w:pPr>
              <w:pStyle w:val="61"/>
              <w:spacing w:line="240" w:lineRule="auto"/>
              <w:jc w:val="center"/>
              <w:rPr>
                <w:rFonts w:hint="eastAsia" w:eastAsia="宋体" w:cs="Times New Roman"/>
                <w:color w:val="auto"/>
              </w:rPr>
            </w:pPr>
            <w:r>
              <w:rPr>
                <w:rFonts w:hint="default" w:eastAsia="宋体" w:cs="Times New Roman"/>
                <w:color w:val="auto"/>
              </w:rPr>
              <w:t>主要内容</w:t>
            </w:r>
          </w:p>
        </w:tc>
      </w:tr>
      <w:tr w14:paraId="7AA428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17" w:type="dxa"/>
            <w:noWrap w:val="0"/>
            <w:vAlign w:val="center"/>
          </w:tcPr>
          <w:p w14:paraId="63D929E8">
            <w:pPr>
              <w:pStyle w:val="61"/>
              <w:spacing w:line="240" w:lineRule="auto"/>
              <w:jc w:val="center"/>
              <w:rPr>
                <w:rFonts w:hint="eastAsia" w:eastAsia="宋体" w:cs="Times New Roman"/>
                <w:color w:val="auto"/>
              </w:rPr>
            </w:pPr>
            <w:r>
              <w:rPr>
                <w:rFonts w:hint="eastAsia" w:eastAsia="宋体" w:cs="Times New Roman"/>
                <w:color w:val="auto"/>
              </w:rPr>
              <w:t>1</w:t>
            </w:r>
          </w:p>
        </w:tc>
        <w:tc>
          <w:tcPr>
            <w:tcW w:w="7705" w:type="dxa"/>
            <w:noWrap w:val="0"/>
            <w:vAlign w:val="center"/>
          </w:tcPr>
          <w:p w14:paraId="66C41C8E">
            <w:pPr>
              <w:pStyle w:val="61"/>
              <w:spacing w:line="240" w:lineRule="auto"/>
              <w:jc w:val="center"/>
              <w:rPr>
                <w:rFonts w:hint="eastAsia" w:eastAsia="宋体" w:cs="Times New Roman"/>
                <w:color w:val="auto"/>
              </w:rPr>
            </w:pPr>
            <w:r>
              <w:rPr>
                <w:rFonts w:hint="default" w:eastAsia="宋体" w:cs="Times New Roman"/>
                <w:color w:val="auto"/>
              </w:rPr>
              <w:t>各种成品、半成品、机械设备严格按照施工总平面图堆放，加工车间及堆场见总平面图。</w:t>
            </w:r>
          </w:p>
        </w:tc>
      </w:tr>
      <w:tr w14:paraId="21F2C4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17" w:type="dxa"/>
            <w:noWrap w:val="0"/>
            <w:vAlign w:val="center"/>
          </w:tcPr>
          <w:p w14:paraId="7DA5AEF7">
            <w:pPr>
              <w:pStyle w:val="61"/>
              <w:spacing w:line="240" w:lineRule="auto"/>
              <w:jc w:val="center"/>
              <w:rPr>
                <w:rFonts w:hint="eastAsia" w:eastAsia="宋体" w:cs="Times New Roman"/>
                <w:color w:val="auto"/>
              </w:rPr>
            </w:pPr>
            <w:r>
              <w:rPr>
                <w:rFonts w:hint="eastAsia" w:eastAsia="宋体" w:cs="Times New Roman"/>
                <w:color w:val="auto"/>
              </w:rPr>
              <w:t>2</w:t>
            </w:r>
          </w:p>
        </w:tc>
        <w:tc>
          <w:tcPr>
            <w:tcW w:w="7705" w:type="dxa"/>
            <w:noWrap w:val="0"/>
            <w:vAlign w:val="center"/>
          </w:tcPr>
          <w:p w14:paraId="0ACB88D9">
            <w:pPr>
              <w:pStyle w:val="61"/>
              <w:spacing w:line="240" w:lineRule="auto"/>
              <w:jc w:val="center"/>
              <w:rPr>
                <w:rFonts w:hint="eastAsia" w:eastAsia="宋体" w:cs="Times New Roman"/>
                <w:color w:val="auto"/>
              </w:rPr>
            </w:pPr>
            <w:r>
              <w:rPr>
                <w:rFonts w:hint="default" w:eastAsia="宋体" w:cs="Times New Roman"/>
                <w:color w:val="auto"/>
              </w:rPr>
              <w:t>现场设围墙隔断，堆放管材、杆材、架板、模板等分类堆放。</w:t>
            </w:r>
          </w:p>
        </w:tc>
      </w:tr>
      <w:tr w14:paraId="135FD2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17" w:type="dxa"/>
            <w:noWrap w:val="0"/>
            <w:vAlign w:val="center"/>
          </w:tcPr>
          <w:p w14:paraId="674DC5D4">
            <w:pPr>
              <w:pStyle w:val="61"/>
              <w:spacing w:line="240" w:lineRule="auto"/>
              <w:jc w:val="center"/>
              <w:rPr>
                <w:rStyle w:val="62"/>
                <w:rFonts w:hint="eastAsia" w:eastAsia="宋体" w:cs="Times New Roman"/>
                <w:color w:val="auto"/>
                <w:sz w:val="21"/>
                <w:szCs w:val="20"/>
              </w:rPr>
            </w:pPr>
            <w:r>
              <w:rPr>
                <w:rStyle w:val="62"/>
                <w:rFonts w:hint="eastAsia" w:eastAsia="宋体" w:cs="Times New Roman"/>
                <w:color w:val="auto"/>
                <w:sz w:val="21"/>
                <w:szCs w:val="20"/>
              </w:rPr>
              <w:t>3</w:t>
            </w:r>
          </w:p>
        </w:tc>
        <w:tc>
          <w:tcPr>
            <w:tcW w:w="7705" w:type="dxa"/>
            <w:noWrap w:val="0"/>
            <w:vAlign w:val="center"/>
          </w:tcPr>
          <w:p w14:paraId="121CDD2D">
            <w:pPr>
              <w:pStyle w:val="61"/>
              <w:spacing w:line="240" w:lineRule="auto"/>
              <w:jc w:val="center"/>
              <w:rPr>
                <w:rFonts w:hint="eastAsia" w:eastAsia="宋体" w:cs="Times New Roman"/>
                <w:color w:val="auto"/>
              </w:rPr>
            </w:pPr>
            <w:r>
              <w:rPr>
                <w:rFonts w:hint="default" w:eastAsia="宋体" w:cs="Times New Roman"/>
                <w:color w:val="auto"/>
              </w:rPr>
              <w:t>钢材按规格分别搁放整齐，并挂设产品标示牌（标示牌内容同上），加工的半成品分门别类的搁置在物架上，现场材料库应设货架。</w:t>
            </w:r>
          </w:p>
        </w:tc>
      </w:tr>
      <w:tr w14:paraId="2F880E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17" w:type="dxa"/>
            <w:noWrap w:val="0"/>
            <w:vAlign w:val="center"/>
          </w:tcPr>
          <w:p w14:paraId="4F7174AF">
            <w:pPr>
              <w:pStyle w:val="61"/>
              <w:spacing w:line="240" w:lineRule="auto"/>
              <w:jc w:val="center"/>
              <w:rPr>
                <w:rStyle w:val="62"/>
                <w:rFonts w:hint="eastAsia" w:eastAsia="宋体" w:cs="Times New Roman"/>
                <w:color w:val="auto"/>
                <w:sz w:val="21"/>
                <w:szCs w:val="20"/>
              </w:rPr>
            </w:pPr>
            <w:r>
              <w:rPr>
                <w:rStyle w:val="62"/>
                <w:rFonts w:hint="eastAsia" w:eastAsia="宋体" w:cs="Times New Roman"/>
                <w:color w:val="auto"/>
                <w:sz w:val="21"/>
                <w:szCs w:val="20"/>
              </w:rPr>
              <w:t>4</w:t>
            </w:r>
          </w:p>
        </w:tc>
        <w:tc>
          <w:tcPr>
            <w:tcW w:w="7705" w:type="dxa"/>
            <w:noWrap w:val="0"/>
            <w:vAlign w:val="center"/>
          </w:tcPr>
          <w:p w14:paraId="55C832AF">
            <w:pPr>
              <w:pStyle w:val="61"/>
              <w:spacing w:line="240" w:lineRule="auto"/>
              <w:jc w:val="center"/>
              <w:rPr>
                <w:rFonts w:hint="eastAsia" w:eastAsia="宋体" w:cs="Times New Roman"/>
                <w:color w:val="auto"/>
              </w:rPr>
            </w:pPr>
            <w:r>
              <w:rPr>
                <w:rFonts w:hint="default" w:eastAsia="宋体" w:cs="Times New Roman"/>
                <w:color w:val="auto"/>
              </w:rPr>
              <w:t>现场材料库应设货架，分类摆好，挂设标签、库内整洁行走道路通畅。</w:t>
            </w:r>
          </w:p>
        </w:tc>
      </w:tr>
      <w:tr w14:paraId="63CA20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7" w:hRule="atLeast"/>
          <w:jc w:val="center"/>
        </w:trPr>
        <w:tc>
          <w:tcPr>
            <w:tcW w:w="817" w:type="dxa"/>
            <w:noWrap w:val="0"/>
            <w:vAlign w:val="center"/>
          </w:tcPr>
          <w:p w14:paraId="09B5BCC9">
            <w:pPr>
              <w:pStyle w:val="61"/>
              <w:spacing w:line="240" w:lineRule="auto"/>
              <w:jc w:val="center"/>
              <w:rPr>
                <w:rStyle w:val="62"/>
                <w:rFonts w:hint="eastAsia" w:eastAsia="宋体" w:cs="Times New Roman"/>
                <w:color w:val="auto"/>
                <w:sz w:val="21"/>
                <w:szCs w:val="20"/>
              </w:rPr>
            </w:pPr>
            <w:r>
              <w:rPr>
                <w:rStyle w:val="62"/>
                <w:rFonts w:hint="eastAsia" w:eastAsia="宋体" w:cs="Times New Roman"/>
                <w:color w:val="auto"/>
                <w:sz w:val="21"/>
                <w:szCs w:val="20"/>
              </w:rPr>
              <w:t>5</w:t>
            </w:r>
          </w:p>
        </w:tc>
        <w:tc>
          <w:tcPr>
            <w:tcW w:w="7705" w:type="dxa"/>
            <w:noWrap w:val="0"/>
            <w:vAlign w:val="center"/>
          </w:tcPr>
          <w:p w14:paraId="0623A477">
            <w:pPr>
              <w:pStyle w:val="61"/>
              <w:spacing w:line="240" w:lineRule="auto"/>
              <w:jc w:val="center"/>
              <w:rPr>
                <w:rFonts w:hint="eastAsia" w:eastAsia="宋体" w:cs="Times New Roman"/>
                <w:color w:val="auto"/>
              </w:rPr>
            </w:pPr>
            <w:r>
              <w:rPr>
                <w:rFonts w:hint="default" w:eastAsia="宋体" w:cs="Times New Roman"/>
                <w:color w:val="auto"/>
              </w:rPr>
              <w:t>泵送机、钢筋机械操作场、通道口、操作点、进料口以及其他按规定要求达设的防护棚的，必须搭设防护棚。防护棚必须稳固、整洁、每天的机具应清洁干净、做好日常保养、用完清理完毕送回现场材料库房。</w:t>
            </w:r>
          </w:p>
        </w:tc>
      </w:tr>
    </w:tbl>
    <w:p w14:paraId="50B5AC48">
      <w:pPr>
        <w:pStyle w:val="7"/>
        <w:ind w:firstLine="0"/>
        <w:rPr>
          <w:rFonts w:hint="default" w:eastAsia="宋体"/>
          <w:color w:val="auto"/>
          <w:lang w:val="en-US" w:eastAsia="zh-CN"/>
        </w:rPr>
      </w:pPr>
      <w:bookmarkStart w:id="27" w:name="_Toc28250"/>
      <w:bookmarkStart w:id="28" w:name="_Toc53530323"/>
      <w:bookmarkStart w:id="29" w:name="_Toc62402055"/>
      <w:r>
        <w:rPr>
          <w:rFonts w:hint="default" w:eastAsia="宋体"/>
          <w:color w:val="auto"/>
          <w:lang w:val="en-US" w:eastAsia="zh-CN"/>
        </w:rPr>
        <w:t>清洁施工现场及垃圾处理管理制度</w:t>
      </w:r>
      <w:bookmarkEnd w:id="27"/>
      <w:bookmarkEnd w:id="28"/>
      <w:bookmarkEnd w:id="29"/>
    </w:p>
    <w:p w14:paraId="74290169">
      <w:pPr>
        <w:rPr>
          <w:rFonts w:hint="default" w:eastAsia="宋体"/>
          <w:color w:val="auto"/>
          <w:lang w:val="en-US" w:eastAsia="zh-CN"/>
        </w:rPr>
      </w:pPr>
      <w:r>
        <w:rPr>
          <w:rFonts w:hint="default" w:eastAsia="宋体"/>
          <w:color w:val="auto"/>
          <w:lang w:val="en-US" w:eastAsia="zh-CN"/>
        </w:rPr>
        <w:t>为进一步做好施工现场的安全生产和文明施工工作，保证场容场貌整洁卫生、场地平整、道路畅通、材料堆放有序等，结合本工程实际情况，特定本制度，见下表：</w:t>
      </w:r>
    </w:p>
    <w:p w14:paraId="75584D4F">
      <w:pPr>
        <w:pStyle w:val="77"/>
        <w:snapToGrid/>
        <w:spacing w:before="24" w:beforeLines="10" w:after="24" w:afterLines="10" w:line="432" w:lineRule="auto"/>
        <w:rPr>
          <w:rFonts w:hint="default" w:eastAsia="宋体" w:cs="Times New Roman"/>
          <w:color w:val="auto"/>
          <w:sz w:val="24"/>
          <w:szCs w:val="24"/>
          <w:lang w:val="en-US" w:eastAsia="zh-CN"/>
        </w:rPr>
      </w:pPr>
      <w:r>
        <w:rPr>
          <w:rFonts w:hint="default" w:eastAsia="宋体" w:cs="Times New Roman"/>
          <w:color w:val="auto"/>
          <w:sz w:val="24"/>
          <w:szCs w:val="24"/>
          <w:lang w:val="en-US" w:eastAsia="zh-CN"/>
        </w:rPr>
        <w:t>插表 清洁施工现场及垃圾处理管理制度</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90"/>
        <w:gridCol w:w="8396"/>
      </w:tblGrid>
      <w:tr w14:paraId="3C145A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58" w:hRule="atLeast"/>
          <w:jc w:val="center"/>
        </w:trPr>
        <w:tc>
          <w:tcPr>
            <w:tcW w:w="479" w:type="pct"/>
            <w:noWrap w:val="0"/>
            <w:vAlign w:val="center"/>
          </w:tcPr>
          <w:p w14:paraId="13530164">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序号</w:t>
            </w:r>
          </w:p>
        </w:tc>
        <w:tc>
          <w:tcPr>
            <w:tcW w:w="4521" w:type="pct"/>
            <w:noWrap w:val="0"/>
            <w:vAlign w:val="center"/>
          </w:tcPr>
          <w:p w14:paraId="1FC25F8F">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主要内容</w:t>
            </w:r>
          </w:p>
        </w:tc>
      </w:tr>
      <w:tr w14:paraId="426454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8" w:hRule="atLeast"/>
          <w:jc w:val="center"/>
        </w:trPr>
        <w:tc>
          <w:tcPr>
            <w:tcW w:w="479" w:type="pct"/>
            <w:noWrap w:val="0"/>
            <w:vAlign w:val="center"/>
          </w:tcPr>
          <w:p w14:paraId="496E9281">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1</w:t>
            </w:r>
          </w:p>
        </w:tc>
        <w:tc>
          <w:tcPr>
            <w:tcW w:w="4521" w:type="pct"/>
            <w:noWrap w:val="0"/>
            <w:vAlign w:val="center"/>
          </w:tcPr>
          <w:p w14:paraId="071F4E95">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施工作业时不得造成严重环境污染。</w:t>
            </w:r>
          </w:p>
        </w:tc>
      </w:tr>
      <w:tr w14:paraId="2EBAF2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2" w:hRule="atLeast"/>
          <w:jc w:val="center"/>
        </w:trPr>
        <w:tc>
          <w:tcPr>
            <w:tcW w:w="479" w:type="pct"/>
            <w:noWrap w:val="0"/>
            <w:vAlign w:val="center"/>
          </w:tcPr>
          <w:p w14:paraId="0F110C23">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2</w:t>
            </w:r>
          </w:p>
        </w:tc>
        <w:tc>
          <w:tcPr>
            <w:tcW w:w="4521" w:type="pct"/>
            <w:noWrap w:val="0"/>
            <w:vAlign w:val="center"/>
          </w:tcPr>
          <w:p w14:paraId="01402B4C">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操作人员应做到工完料尽、物尽其用、废料归堆，并清运出场的责任到位工作。</w:t>
            </w:r>
          </w:p>
        </w:tc>
      </w:tr>
      <w:tr w14:paraId="7B393F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jc w:val="center"/>
        </w:trPr>
        <w:tc>
          <w:tcPr>
            <w:tcW w:w="479" w:type="pct"/>
            <w:noWrap w:val="0"/>
            <w:vAlign w:val="center"/>
          </w:tcPr>
          <w:p w14:paraId="0E05553B">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3</w:t>
            </w:r>
          </w:p>
        </w:tc>
        <w:tc>
          <w:tcPr>
            <w:tcW w:w="4521" w:type="pct"/>
            <w:noWrap w:val="0"/>
            <w:vAlign w:val="center"/>
          </w:tcPr>
          <w:p w14:paraId="41EFB541">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落地料、碎砖料、废料必须按时清理干净。</w:t>
            </w:r>
          </w:p>
        </w:tc>
      </w:tr>
      <w:tr w14:paraId="324FD7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479" w:type="pct"/>
            <w:noWrap w:val="0"/>
            <w:vAlign w:val="center"/>
          </w:tcPr>
          <w:p w14:paraId="79BD9125">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4</w:t>
            </w:r>
          </w:p>
        </w:tc>
        <w:tc>
          <w:tcPr>
            <w:tcW w:w="4521" w:type="pct"/>
            <w:noWrap w:val="0"/>
            <w:vAlign w:val="center"/>
          </w:tcPr>
          <w:p w14:paraId="3FCA55E7">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砖块堆放应成垛，在脚手板上堆放不得超过三皮。</w:t>
            </w:r>
          </w:p>
        </w:tc>
      </w:tr>
      <w:tr w14:paraId="6A5FE8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3" w:hRule="atLeast"/>
          <w:jc w:val="center"/>
        </w:trPr>
        <w:tc>
          <w:tcPr>
            <w:tcW w:w="479" w:type="pct"/>
            <w:noWrap w:val="0"/>
            <w:vAlign w:val="center"/>
          </w:tcPr>
          <w:p w14:paraId="5CD97AED">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5</w:t>
            </w:r>
          </w:p>
        </w:tc>
        <w:tc>
          <w:tcPr>
            <w:tcW w:w="4521" w:type="pct"/>
            <w:noWrap w:val="0"/>
            <w:vAlign w:val="center"/>
          </w:tcPr>
          <w:p w14:paraId="6BE0E55F">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模板、木料不准乱堆、混放、散落或随意作它用。</w:t>
            </w:r>
          </w:p>
        </w:tc>
      </w:tr>
      <w:tr w14:paraId="7B70B6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3" w:hRule="atLeast"/>
          <w:jc w:val="center"/>
        </w:trPr>
        <w:tc>
          <w:tcPr>
            <w:tcW w:w="479" w:type="pct"/>
            <w:noWrap w:val="0"/>
            <w:vAlign w:val="center"/>
          </w:tcPr>
          <w:p w14:paraId="43588673">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6</w:t>
            </w:r>
          </w:p>
        </w:tc>
        <w:tc>
          <w:tcPr>
            <w:tcW w:w="4521" w:type="pct"/>
            <w:noWrap w:val="0"/>
            <w:vAlign w:val="center"/>
          </w:tcPr>
          <w:p w14:paraId="789E750C">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零配件、钢扣件等存放集中，不得散乱并有散失。</w:t>
            </w:r>
          </w:p>
        </w:tc>
      </w:tr>
      <w:tr w14:paraId="0B1370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69978C10">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7</w:t>
            </w:r>
          </w:p>
        </w:tc>
        <w:tc>
          <w:tcPr>
            <w:tcW w:w="4521" w:type="pct"/>
            <w:noWrap w:val="0"/>
            <w:vAlign w:val="center"/>
          </w:tcPr>
          <w:p w14:paraId="59ECB5AD">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每月对检查进行张榜公布。</w:t>
            </w:r>
          </w:p>
        </w:tc>
      </w:tr>
      <w:tr w14:paraId="251A04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1C575D2B">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8</w:t>
            </w:r>
          </w:p>
        </w:tc>
        <w:tc>
          <w:tcPr>
            <w:tcW w:w="4521" w:type="pct"/>
            <w:noWrap w:val="0"/>
            <w:vAlign w:val="center"/>
          </w:tcPr>
          <w:p w14:paraId="7F506A9C">
            <w:pPr>
              <w:pStyle w:val="61"/>
              <w:spacing w:line="240" w:lineRule="auto"/>
              <w:jc w:val="center"/>
              <w:rPr>
                <w:rStyle w:val="62"/>
                <w:rFonts w:hint="default" w:ascii="Times New Roman" w:hAnsi="Times New Roman" w:eastAsia="宋体" w:cs="Times New Roman"/>
                <w:color w:val="auto"/>
                <w:sz w:val="21"/>
                <w:szCs w:val="20"/>
              </w:rPr>
            </w:pPr>
            <w:r>
              <w:rPr>
                <w:rStyle w:val="62"/>
                <w:rFonts w:hint="default" w:ascii="Times New Roman" w:hAnsi="Times New Roman" w:eastAsia="宋体" w:cs="Times New Roman"/>
                <w:color w:val="auto"/>
                <w:sz w:val="21"/>
                <w:szCs w:val="20"/>
              </w:rPr>
              <w:t>每月项目部检查评分一次，对各作业班组进行评分，评选到优良的班组奖励500～1000元，合格的奖励100～400元，不及格的罚款500～1000元。</w:t>
            </w:r>
          </w:p>
        </w:tc>
      </w:tr>
    </w:tbl>
    <w:p w14:paraId="4A8A3BAC">
      <w:pPr>
        <w:pStyle w:val="7"/>
        <w:ind w:firstLine="0"/>
        <w:rPr>
          <w:rFonts w:hint="default" w:eastAsia="宋体"/>
          <w:color w:val="auto"/>
          <w:lang w:val="en-US" w:eastAsia="zh-CN"/>
        </w:rPr>
      </w:pPr>
      <w:bookmarkStart w:id="30" w:name="_Toc62402056"/>
      <w:bookmarkStart w:id="31" w:name="_Toc6817"/>
      <w:bookmarkStart w:id="32" w:name="_Toc53530324"/>
      <w:r>
        <w:rPr>
          <w:rFonts w:hint="default" w:eastAsia="宋体"/>
          <w:color w:val="auto"/>
          <w:lang w:val="en-US" w:eastAsia="zh-CN"/>
        </w:rPr>
        <w:t>施工现场门卫管理制度</w:t>
      </w:r>
      <w:bookmarkEnd w:id="30"/>
      <w:bookmarkEnd w:id="31"/>
      <w:bookmarkEnd w:id="32"/>
    </w:p>
    <w:p w14:paraId="3FD2A574">
      <w:pPr>
        <w:pStyle w:val="77"/>
        <w:snapToGrid/>
        <w:spacing w:before="24" w:beforeLines="10" w:after="24" w:afterLines="10" w:line="432" w:lineRule="auto"/>
        <w:rPr>
          <w:rFonts w:hint="default" w:eastAsia="宋体" w:cs="Times New Roman"/>
          <w:color w:val="auto"/>
          <w:sz w:val="24"/>
          <w:szCs w:val="24"/>
          <w:lang w:val="en-US" w:eastAsia="zh-CN"/>
        </w:rPr>
      </w:pPr>
      <w:r>
        <w:rPr>
          <w:rFonts w:hint="default" w:eastAsia="宋体" w:cs="Times New Roman"/>
          <w:color w:val="auto"/>
          <w:sz w:val="24"/>
          <w:szCs w:val="24"/>
          <w:lang w:val="en-US" w:eastAsia="zh-CN"/>
        </w:rPr>
        <w:t>插表 施工现场门卫管理制度内容</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90"/>
        <w:gridCol w:w="8396"/>
      </w:tblGrid>
      <w:tr w14:paraId="6A5117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6EF33068">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序号</w:t>
            </w:r>
          </w:p>
        </w:tc>
        <w:tc>
          <w:tcPr>
            <w:tcW w:w="4521" w:type="pct"/>
            <w:noWrap w:val="0"/>
            <w:vAlign w:val="center"/>
          </w:tcPr>
          <w:p w14:paraId="102CF93A">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主要内容</w:t>
            </w:r>
          </w:p>
        </w:tc>
      </w:tr>
      <w:tr w14:paraId="7D436B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5D4B558F">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1</w:t>
            </w:r>
          </w:p>
        </w:tc>
        <w:tc>
          <w:tcPr>
            <w:tcW w:w="4521" w:type="pct"/>
            <w:noWrap w:val="0"/>
            <w:vAlign w:val="center"/>
          </w:tcPr>
          <w:p w14:paraId="2BB93204">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上班要佩带袖章，严守岗位，不擅自离岗。</w:t>
            </w:r>
          </w:p>
        </w:tc>
      </w:tr>
      <w:tr w14:paraId="293185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7BA5A9C7">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2</w:t>
            </w:r>
          </w:p>
        </w:tc>
        <w:tc>
          <w:tcPr>
            <w:tcW w:w="4521" w:type="pct"/>
            <w:noWrap w:val="0"/>
            <w:vAlign w:val="center"/>
          </w:tcPr>
          <w:p w14:paraId="22E51A12">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保持仪容严整，使用文明语言，待人礼貌。</w:t>
            </w:r>
          </w:p>
        </w:tc>
      </w:tr>
      <w:tr w14:paraId="6614E3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7B155691">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3</w:t>
            </w:r>
          </w:p>
        </w:tc>
        <w:tc>
          <w:tcPr>
            <w:tcW w:w="4521" w:type="pct"/>
            <w:noWrap w:val="0"/>
            <w:vAlign w:val="center"/>
          </w:tcPr>
          <w:p w14:paraId="729D11D9">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认真做好出入车辆和来访人员的进出登记。</w:t>
            </w:r>
          </w:p>
        </w:tc>
      </w:tr>
      <w:tr w14:paraId="2A6E71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46E56995">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4</w:t>
            </w:r>
          </w:p>
        </w:tc>
        <w:tc>
          <w:tcPr>
            <w:tcW w:w="4521" w:type="pct"/>
            <w:noWrap w:val="0"/>
            <w:vAlign w:val="center"/>
          </w:tcPr>
          <w:p w14:paraId="7435AF04">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没有持证或工作卡的人员，不经允许，不得进入工地。</w:t>
            </w:r>
          </w:p>
        </w:tc>
      </w:tr>
      <w:tr w14:paraId="74A226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0F3EF4D1">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5</w:t>
            </w:r>
          </w:p>
        </w:tc>
        <w:tc>
          <w:tcPr>
            <w:tcW w:w="4521" w:type="pct"/>
            <w:noWrap w:val="0"/>
            <w:vAlign w:val="center"/>
          </w:tcPr>
          <w:p w14:paraId="24CB450B">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所有的材料和机具没有批条，一律不得放行。</w:t>
            </w:r>
          </w:p>
        </w:tc>
      </w:tr>
      <w:tr w14:paraId="394299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0" w:hRule="atLeast"/>
          <w:jc w:val="center"/>
        </w:trPr>
        <w:tc>
          <w:tcPr>
            <w:tcW w:w="479" w:type="pct"/>
            <w:noWrap w:val="0"/>
            <w:vAlign w:val="center"/>
          </w:tcPr>
          <w:p w14:paraId="07AF8884">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6</w:t>
            </w:r>
          </w:p>
        </w:tc>
        <w:tc>
          <w:tcPr>
            <w:tcW w:w="4521" w:type="pct"/>
            <w:noWrap w:val="0"/>
            <w:vAlign w:val="center"/>
          </w:tcPr>
          <w:p w14:paraId="60FC669C">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保持清醒头脑，提高安全意识，做好施工现场安全保护工作，防止材料、机具失窃，一旦发现，要及时向领导汇报。</w:t>
            </w:r>
          </w:p>
        </w:tc>
      </w:tr>
      <w:tr w14:paraId="189291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208641EC">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7</w:t>
            </w:r>
          </w:p>
        </w:tc>
        <w:tc>
          <w:tcPr>
            <w:tcW w:w="4521" w:type="pct"/>
            <w:noWrap w:val="0"/>
            <w:vAlign w:val="center"/>
          </w:tcPr>
          <w:p w14:paraId="40659609">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做好安全值班记录、交接班手续。</w:t>
            </w:r>
          </w:p>
        </w:tc>
      </w:tr>
      <w:tr w14:paraId="68DFE3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36554754">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8</w:t>
            </w:r>
          </w:p>
        </w:tc>
        <w:tc>
          <w:tcPr>
            <w:tcW w:w="4521" w:type="pct"/>
            <w:noWrap w:val="0"/>
            <w:vAlign w:val="center"/>
          </w:tcPr>
          <w:p w14:paraId="47A6D078">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自觉遵守各项规章制度，做遵章守纪的模范带头人。</w:t>
            </w:r>
          </w:p>
        </w:tc>
      </w:tr>
    </w:tbl>
    <w:p w14:paraId="30117705">
      <w:pPr>
        <w:rPr>
          <w:rFonts w:hint="default" w:eastAsia="宋体"/>
          <w:color w:val="auto"/>
          <w:lang w:val="en-US" w:eastAsia="zh-CN"/>
        </w:rPr>
      </w:pPr>
    </w:p>
    <w:p w14:paraId="38BE08CF">
      <w:pPr>
        <w:pStyle w:val="4"/>
        <w:rPr>
          <w:rFonts w:hint="eastAsia" w:ascii="Arial" w:hAnsi="Arial" w:eastAsia="宋体" w:cs="Times New Roman"/>
          <w:b/>
          <w:bCs/>
          <w:color w:val="auto"/>
          <w:lang w:val="en-US" w:eastAsia="zh-CN"/>
        </w:rPr>
      </w:pPr>
      <w:bookmarkStart w:id="33" w:name="_Toc3884"/>
      <w:r>
        <w:rPr>
          <w:rFonts w:hint="eastAsia" w:ascii="Arial" w:hAnsi="Arial" w:eastAsia="宋体" w:cs="Times New Roman"/>
          <w:b/>
          <w:bCs/>
          <w:color w:val="auto"/>
          <w:lang w:val="en-US" w:eastAsia="zh-CN"/>
        </w:rPr>
        <w:t>绿色施工管理办法</w:t>
      </w:r>
      <w:bookmarkEnd w:id="33"/>
    </w:p>
    <w:p w14:paraId="3FF5BDF8">
      <w:pPr>
        <w:pStyle w:val="7"/>
        <w:ind w:firstLine="0"/>
        <w:rPr>
          <w:rFonts w:ascii="宋体" w:hAnsi="宋体"/>
          <w:b w:val="0"/>
          <w:bCs w:val="0"/>
          <w:color w:val="auto"/>
        </w:rPr>
      </w:pPr>
      <w:bookmarkStart w:id="34" w:name="_Toc11095"/>
      <w:r>
        <w:rPr>
          <w:rFonts w:hint="eastAsia" w:ascii="宋体" w:hAnsi="宋体"/>
          <w:color w:val="auto"/>
        </w:rPr>
        <w:t>组织机构与职责</w:t>
      </w:r>
      <w:bookmarkEnd w:id="34"/>
    </w:p>
    <w:p w14:paraId="23F935E3">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r>
        <w:rPr>
          <w:rFonts w:hint="eastAsia" w:ascii="Times New Roman" w:hAnsi="Times New Roman" w:eastAsia="宋体" w:cs="Times New Roman"/>
          <w:color w:val="auto"/>
          <w:lang w:val="en-US" w:eastAsia="zh-CN"/>
        </w:rPr>
        <w:t>、绿色施工管理机构与部门</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04"/>
        <w:gridCol w:w="8482"/>
      </w:tblGrid>
      <w:tr w14:paraId="00FEB0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0A2C5ED7">
            <w:pPr>
              <w:pStyle w:val="61"/>
              <w:spacing w:line="240" w:lineRule="auto"/>
              <w:jc w:val="center"/>
              <w:rPr>
                <w:rFonts w:hint="default" w:eastAsia="宋体" w:cs="Times New Roman"/>
                <w:color w:val="auto"/>
                <w:lang w:val="en-US" w:eastAsia="zh-CN"/>
              </w:rPr>
            </w:pPr>
            <w:r>
              <w:rPr>
                <w:rFonts w:hint="eastAsia" w:eastAsia="宋体" w:cs="Times New Roman"/>
                <w:color w:val="auto"/>
                <w:lang w:val="en-US" w:eastAsia="zh-CN"/>
              </w:rPr>
              <w:t>序号</w:t>
            </w:r>
          </w:p>
        </w:tc>
        <w:tc>
          <w:tcPr>
            <w:tcW w:w="4566" w:type="pct"/>
            <w:noWrap w:val="0"/>
            <w:vAlign w:val="center"/>
          </w:tcPr>
          <w:p w14:paraId="79D82817">
            <w:pPr>
              <w:pStyle w:val="61"/>
              <w:spacing w:line="240" w:lineRule="auto"/>
              <w:jc w:val="center"/>
              <w:rPr>
                <w:rFonts w:hint="default" w:eastAsia="宋体" w:cs="Times New Roman"/>
                <w:color w:val="auto"/>
                <w:lang w:val="en-US" w:eastAsia="zh-CN"/>
              </w:rPr>
            </w:pPr>
            <w:r>
              <w:rPr>
                <w:rFonts w:hint="eastAsia" w:eastAsia="宋体" w:cs="Times New Roman"/>
                <w:color w:val="auto"/>
                <w:lang w:val="en-US" w:eastAsia="zh-CN"/>
              </w:rPr>
              <w:t>内容</w:t>
            </w:r>
          </w:p>
        </w:tc>
      </w:tr>
      <w:tr w14:paraId="7970DD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43FD8547">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1</w:t>
            </w:r>
          </w:p>
        </w:tc>
        <w:tc>
          <w:tcPr>
            <w:tcW w:w="4566" w:type="pct"/>
            <w:noWrap w:val="0"/>
            <w:vAlign w:val="center"/>
          </w:tcPr>
          <w:p w14:paraId="72D907A1">
            <w:pPr>
              <w:pStyle w:val="61"/>
              <w:spacing w:line="240" w:lineRule="auto"/>
              <w:jc w:val="center"/>
              <w:rPr>
                <w:rFonts w:hint="default" w:eastAsia="宋体" w:cs="Times New Roman"/>
                <w:color w:val="auto"/>
                <w:lang w:val="en-US" w:eastAsia="zh-CN"/>
              </w:rPr>
            </w:pPr>
            <w:r>
              <w:rPr>
                <w:rFonts w:hint="eastAsia" w:eastAsia="宋体" w:cs="Times New Roman"/>
                <w:color w:val="auto"/>
                <w:lang w:val="en-US" w:eastAsia="zh-CN"/>
              </w:rPr>
              <w:t>公司安全生产委员会是公司绿色施工管理的最高决策机构。</w:t>
            </w:r>
          </w:p>
        </w:tc>
      </w:tr>
      <w:tr w14:paraId="600DCC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433" w:type="pct"/>
            <w:noWrap w:val="0"/>
            <w:vAlign w:val="center"/>
          </w:tcPr>
          <w:p w14:paraId="3C5ECB26">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2</w:t>
            </w:r>
          </w:p>
        </w:tc>
        <w:tc>
          <w:tcPr>
            <w:tcW w:w="4566" w:type="pct"/>
            <w:noWrap w:val="0"/>
            <w:vAlign w:val="center"/>
          </w:tcPr>
          <w:p w14:paraId="6D800109">
            <w:pPr>
              <w:pStyle w:val="61"/>
              <w:spacing w:line="240" w:lineRule="auto"/>
              <w:jc w:val="center"/>
              <w:rPr>
                <w:rFonts w:hint="default" w:eastAsia="宋体" w:cs="Times New Roman"/>
                <w:color w:val="auto"/>
                <w:lang w:val="en-US" w:eastAsia="zh-CN"/>
              </w:rPr>
            </w:pPr>
            <w:r>
              <w:rPr>
                <w:rFonts w:hint="eastAsia" w:eastAsia="宋体" w:cs="Times New Roman"/>
                <w:color w:val="auto"/>
                <w:lang w:val="en-US" w:eastAsia="zh-CN"/>
              </w:rPr>
              <w:t>公司分管生产副总经理、总工程师负责审批项目绿色施工方案。</w:t>
            </w:r>
          </w:p>
        </w:tc>
      </w:tr>
      <w:tr w14:paraId="298E9F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546C927C">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3</w:t>
            </w:r>
          </w:p>
        </w:tc>
        <w:tc>
          <w:tcPr>
            <w:tcW w:w="4566" w:type="pct"/>
            <w:noWrap w:val="0"/>
            <w:vAlign w:val="center"/>
          </w:tcPr>
          <w:p w14:paraId="58CF0D77">
            <w:pPr>
              <w:pStyle w:val="61"/>
              <w:spacing w:line="240" w:lineRule="auto"/>
              <w:jc w:val="center"/>
              <w:rPr>
                <w:rFonts w:hint="default" w:eastAsia="宋体" w:cs="Times New Roman"/>
                <w:color w:val="auto"/>
                <w:lang w:val="en-US" w:eastAsia="zh-CN"/>
              </w:rPr>
            </w:pPr>
            <w:r>
              <w:rPr>
                <w:rFonts w:hint="eastAsia" w:eastAsia="宋体" w:cs="Times New Roman"/>
                <w:color w:val="auto"/>
                <w:lang w:val="en-US" w:eastAsia="zh-CN"/>
              </w:rPr>
              <w:t>公司安全生产监督监督部负责公司绿色施工发展规划和年度实施计划的制定、监督管理和组织协调工作。</w:t>
            </w:r>
          </w:p>
        </w:tc>
      </w:tr>
      <w:tr w14:paraId="238C18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35FF72AF">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4</w:t>
            </w:r>
          </w:p>
        </w:tc>
        <w:tc>
          <w:tcPr>
            <w:tcW w:w="4566" w:type="pct"/>
            <w:noWrap w:val="0"/>
            <w:vAlign w:val="center"/>
          </w:tcPr>
          <w:p w14:paraId="707E0209">
            <w:pPr>
              <w:pStyle w:val="61"/>
              <w:spacing w:line="240" w:lineRule="auto"/>
              <w:jc w:val="center"/>
              <w:rPr>
                <w:rFonts w:hint="default" w:eastAsia="宋体" w:cs="Times New Roman"/>
                <w:color w:val="auto"/>
                <w:lang w:val="en-US" w:eastAsia="zh-CN"/>
              </w:rPr>
            </w:pPr>
            <w:r>
              <w:rPr>
                <w:rFonts w:hint="eastAsia" w:eastAsia="宋体" w:cs="Times New Roman"/>
                <w:color w:val="auto"/>
                <w:lang w:val="en-US" w:eastAsia="zh-CN"/>
              </w:rPr>
              <w:t>公司技术部负责审核项目绿色施工方案、阶段性技术总结与成果申报、发布、推广工作。</w:t>
            </w:r>
          </w:p>
        </w:tc>
      </w:tr>
      <w:tr w14:paraId="5B130B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2C21A9DA">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5</w:t>
            </w:r>
          </w:p>
        </w:tc>
        <w:tc>
          <w:tcPr>
            <w:tcW w:w="4566" w:type="pct"/>
            <w:noWrap w:val="0"/>
            <w:vAlign w:val="center"/>
          </w:tcPr>
          <w:p w14:paraId="044A10BD">
            <w:pPr>
              <w:pStyle w:val="61"/>
              <w:spacing w:line="240" w:lineRule="auto"/>
              <w:jc w:val="center"/>
              <w:rPr>
                <w:rFonts w:hint="default" w:eastAsia="宋体" w:cs="Times New Roman"/>
                <w:color w:val="auto"/>
                <w:lang w:val="en-US" w:eastAsia="zh-CN"/>
              </w:rPr>
            </w:pPr>
            <w:r>
              <w:rPr>
                <w:rFonts w:hint="eastAsia" w:eastAsia="宋体" w:cs="Times New Roman"/>
                <w:color w:val="auto"/>
                <w:lang w:val="en-US" w:eastAsia="zh-CN"/>
              </w:rPr>
              <w:t>公司物资部负责建立绿色节能材料供应商档案库，积极推广使用绿色节能材料、推广应用节材管理经验。</w:t>
            </w:r>
          </w:p>
        </w:tc>
      </w:tr>
      <w:tr w14:paraId="4C79D1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1B100422">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6</w:t>
            </w:r>
          </w:p>
        </w:tc>
        <w:tc>
          <w:tcPr>
            <w:tcW w:w="4566" w:type="pct"/>
            <w:noWrap w:val="0"/>
            <w:vAlign w:val="center"/>
          </w:tcPr>
          <w:p w14:paraId="60DE5F25">
            <w:pPr>
              <w:pStyle w:val="61"/>
              <w:spacing w:line="240" w:lineRule="auto"/>
              <w:jc w:val="center"/>
              <w:rPr>
                <w:rFonts w:hint="default" w:eastAsia="宋体" w:cs="Times New Roman"/>
                <w:color w:val="auto"/>
                <w:lang w:val="en-US" w:eastAsia="zh-CN"/>
              </w:rPr>
            </w:pPr>
            <w:r>
              <w:rPr>
                <w:rFonts w:hint="eastAsia" w:eastAsia="宋体" w:cs="Times New Roman"/>
                <w:color w:val="auto"/>
                <w:lang w:val="en-US" w:eastAsia="zh-CN"/>
              </w:rPr>
              <w:t>公司工程部负责在施工生产组织中贯彻实施绿色施工的技术措施和管理措施，并将绿色施工的新标准、新技术、新成果进行推广应用。</w:t>
            </w:r>
          </w:p>
        </w:tc>
      </w:tr>
      <w:tr w14:paraId="5B976C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13CF0FE6">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7</w:t>
            </w:r>
          </w:p>
        </w:tc>
        <w:tc>
          <w:tcPr>
            <w:tcW w:w="4566" w:type="pct"/>
            <w:noWrap w:val="0"/>
            <w:vAlign w:val="center"/>
          </w:tcPr>
          <w:p w14:paraId="6E809D37">
            <w:pPr>
              <w:pStyle w:val="61"/>
              <w:spacing w:line="240" w:lineRule="auto"/>
              <w:jc w:val="center"/>
              <w:rPr>
                <w:rFonts w:hint="default" w:eastAsia="宋体" w:cs="Times New Roman"/>
                <w:color w:val="auto"/>
                <w:lang w:val="en-US" w:eastAsia="zh-CN"/>
              </w:rPr>
            </w:pPr>
            <w:r>
              <w:rPr>
                <w:rFonts w:hint="eastAsia" w:eastAsia="宋体" w:cs="Times New Roman"/>
                <w:color w:val="auto"/>
                <w:lang w:val="en-US" w:eastAsia="zh-CN"/>
              </w:rPr>
              <w:t>公司合约部负责核算绿色施工成本、并对“四节一环保”措施进行经济效益分析。</w:t>
            </w:r>
          </w:p>
        </w:tc>
      </w:tr>
      <w:tr w14:paraId="6EED3E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2A61BC04">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8</w:t>
            </w:r>
          </w:p>
        </w:tc>
        <w:tc>
          <w:tcPr>
            <w:tcW w:w="4566" w:type="pct"/>
            <w:noWrap w:val="0"/>
            <w:vAlign w:val="center"/>
          </w:tcPr>
          <w:p w14:paraId="74E0666E">
            <w:pPr>
              <w:pStyle w:val="61"/>
              <w:spacing w:line="240" w:lineRule="auto"/>
              <w:jc w:val="center"/>
              <w:rPr>
                <w:rFonts w:hint="default" w:eastAsia="宋体" w:cs="Times New Roman"/>
                <w:color w:val="auto"/>
                <w:lang w:val="en-US" w:eastAsia="zh-CN"/>
              </w:rPr>
            </w:pPr>
            <w:r>
              <w:rPr>
                <w:rFonts w:hint="eastAsia" w:eastAsia="宋体" w:cs="Times New Roman"/>
                <w:color w:val="auto"/>
                <w:lang w:val="en-US" w:eastAsia="zh-CN"/>
              </w:rPr>
              <w:t>公司综合部、财务部、办公室等部门做好绿色施工实施、资金审批、成果宣传、验收接待等相关工作。</w:t>
            </w:r>
          </w:p>
        </w:tc>
      </w:tr>
    </w:tbl>
    <w:p w14:paraId="637FFCA5">
      <w:pP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w:t>
      </w:r>
      <w:r>
        <w:rPr>
          <w:rFonts w:hint="eastAsia" w:ascii="Times New Roman" w:hAnsi="Times New Roman" w:eastAsia="宋体" w:cs="Times New Roman"/>
          <w:color w:val="auto"/>
          <w:lang w:val="en-US" w:eastAsia="zh-CN"/>
        </w:rPr>
        <w:t>、项目经理部的职责</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78"/>
        <w:gridCol w:w="8508"/>
      </w:tblGrid>
      <w:tr w14:paraId="3D3F65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410B4567">
            <w:pPr>
              <w:pStyle w:val="61"/>
              <w:spacing w:line="240" w:lineRule="auto"/>
              <w:jc w:val="center"/>
              <w:rPr>
                <w:rFonts w:hint="default" w:eastAsia="宋体" w:cs="Times New Roman"/>
                <w:color w:val="auto"/>
                <w:lang w:val="en-US" w:eastAsia="zh-CN"/>
              </w:rPr>
            </w:pPr>
            <w:r>
              <w:rPr>
                <w:rFonts w:hint="eastAsia" w:eastAsia="宋体" w:cs="Times New Roman"/>
                <w:color w:val="auto"/>
                <w:lang w:val="en-US" w:eastAsia="zh-CN"/>
              </w:rPr>
              <w:t>序号</w:t>
            </w:r>
          </w:p>
        </w:tc>
        <w:tc>
          <w:tcPr>
            <w:tcW w:w="4580" w:type="pct"/>
            <w:noWrap w:val="0"/>
            <w:vAlign w:val="center"/>
          </w:tcPr>
          <w:p w14:paraId="68E4911B">
            <w:pPr>
              <w:pStyle w:val="61"/>
              <w:spacing w:line="240" w:lineRule="auto"/>
              <w:jc w:val="center"/>
              <w:rPr>
                <w:rFonts w:hint="default" w:eastAsia="宋体" w:cs="Times New Roman"/>
                <w:color w:val="auto"/>
                <w:lang w:val="en-US" w:eastAsia="zh-CN"/>
              </w:rPr>
            </w:pPr>
            <w:r>
              <w:rPr>
                <w:rFonts w:hint="eastAsia" w:eastAsia="宋体" w:cs="Times New Roman"/>
                <w:color w:val="auto"/>
                <w:lang w:val="en-US" w:eastAsia="zh-CN"/>
              </w:rPr>
              <w:t>内容</w:t>
            </w:r>
          </w:p>
        </w:tc>
      </w:tr>
      <w:tr w14:paraId="301001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540B0B71">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1</w:t>
            </w:r>
          </w:p>
        </w:tc>
        <w:tc>
          <w:tcPr>
            <w:tcW w:w="4580" w:type="pct"/>
            <w:noWrap w:val="0"/>
            <w:vAlign w:val="center"/>
          </w:tcPr>
          <w:p w14:paraId="26AC3209">
            <w:pPr>
              <w:pStyle w:val="61"/>
              <w:spacing w:line="240" w:lineRule="auto"/>
              <w:jc w:val="left"/>
              <w:rPr>
                <w:rFonts w:hint="default" w:eastAsia="宋体" w:cs="Times New Roman"/>
                <w:color w:val="auto"/>
                <w:lang w:val="en-US" w:eastAsia="zh-CN"/>
              </w:rPr>
            </w:pPr>
            <w:r>
              <w:rPr>
                <w:rFonts w:hint="eastAsia" w:eastAsia="宋体" w:cs="Times New Roman"/>
                <w:color w:val="auto"/>
                <w:lang w:val="en-US" w:eastAsia="zh-CN"/>
              </w:rPr>
              <w:t>项目成立以项目经理为第一责任人的绿色施工管理小组，生产经理、技术负责人、安全负责人为副组长，项目各部门负责人和分包单位负责人为组员，形成绿色施工管理体系。</w:t>
            </w:r>
          </w:p>
        </w:tc>
      </w:tr>
      <w:tr w14:paraId="10BF0E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04BD9B69">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2</w:t>
            </w:r>
          </w:p>
        </w:tc>
        <w:tc>
          <w:tcPr>
            <w:tcW w:w="4580" w:type="pct"/>
            <w:noWrap w:val="0"/>
            <w:vAlign w:val="center"/>
          </w:tcPr>
          <w:p w14:paraId="4B1B9DD3">
            <w:pPr>
              <w:pStyle w:val="61"/>
              <w:spacing w:line="240" w:lineRule="auto"/>
              <w:jc w:val="left"/>
              <w:rPr>
                <w:rFonts w:hint="default" w:eastAsia="宋体" w:cs="Times New Roman"/>
                <w:color w:val="auto"/>
                <w:lang w:val="en-US" w:eastAsia="zh-CN"/>
              </w:rPr>
            </w:pPr>
            <w:r>
              <w:rPr>
                <w:rFonts w:hint="eastAsia" w:eastAsia="宋体" w:cs="Times New Roman"/>
                <w:color w:val="auto"/>
                <w:lang w:val="en-US" w:eastAsia="zh-CN"/>
              </w:rPr>
              <w:t>项目经理负责制定绿色施工目标、奖罚制度，并指定绿色施工管理人员和监督人员，负责落实绿色施工专项经费。</w:t>
            </w:r>
          </w:p>
        </w:tc>
      </w:tr>
      <w:tr w14:paraId="3F7A00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70EAEB5E">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3</w:t>
            </w:r>
          </w:p>
        </w:tc>
        <w:tc>
          <w:tcPr>
            <w:tcW w:w="4580" w:type="pct"/>
            <w:noWrap w:val="0"/>
            <w:vAlign w:val="center"/>
          </w:tcPr>
          <w:p w14:paraId="0E583D6F">
            <w:pPr>
              <w:pStyle w:val="61"/>
              <w:spacing w:line="240" w:lineRule="auto"/>
              <w:jc w:val="left"/>
              <w:rPr>
                <w:rFonts w:hint="default" w:eastAsia="宋体" w:cs="Times New Roman"/>
                <w:color w:val="auto"/>
                <w:lang w:val="en-US" w:eastAsia="zh-CN"/>
              </w:rPr>
            </w:pPr>
            <w:r>
              <w:rPr>
                <w:rFonts w:hint="eastAsia" w:eastAsia="宋体" w:cs="Times New Roman"/>
                <w:color w:val="auto"/>
                <w:lang w:val="en-US" w:eastAsia="zh-CN"/>
              </w:rPr>
              <w:t>项目安全负责绿色施工的宣传管理，绿色施工的验收接待工作，对全体职工执行绿色施工相关制度情况进行考核、评比。</w:t>
            </w:r>
          </w:p>
        </w:tc>
      </w:tr>
      <w:tr w14:paraId="26A95F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68807B05">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4</w:t>
            </w:r>
          </w:p>
        </w:tc>
        <w:tc>
          <w:tcPr>
            <w:tcW w:w="4580" w:type="pct"/>
            <w:noWrap w:val="0"/>
            <w:vAlign w:val="center"/>
          </w:tcPr>
          <w:p w14:paraId="04616221">
            <w:pPr>
              <w:pStyle w:val="61"/>
              <w:spacing w:line="240" w:lineRule="auto"/>
              <w:jc w:val="left"/>
              <w:rPr>
                <w:rFonts w:hint="default" w:eastAsia="宋体" w:cs="Times New Roman"/>
                <w:color w:val="auto"/>
                <w:lang w:val="en-US" w:eastAsia="zh-CN"/>
              </w:rPr>
            </w:pPr>
            <w:r>
              <w:rPr>
                <w:rFonts w:hint="eastAsia" w:eastAsia="宋体" w:cs="Times New Roman"/>
                <w:color w:val="auto"/>
                <w:lang w:val="en-US" w:eastAsia="zh-CN"/>
              </w:rPr>
              <w:t>项目技术负责人负责制定绿色施工方案，对全体职工进行绿色施工相关知识培训；负责绿色施工新技术、新设备、新材料与新工艺的研究与应用；负责对绿色施工各阶段工作进行总结，推广成功经验。</w:t>
            </w:r>
          </w:p>
        </w:tc>
      </w:tr>
      <w:tr w14:paraId="4E7D1F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47EFF320">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5</w:t>
            </w:r>
          </w:p>
        </w:tc>
        <w:tc>
          <w:tcPr>
            <w:tcW w:w="4580" w:type="pct"/>
            <w:noWrap w:val="0"/>
            <w:vAlign w:val="center"/>
          </w:tcPr>
          <w:p w14:paraId="46FBA489">
            <w:pPr>
              <w:pStyle w:val="61"/>
              <w:spacing w:line="240" w:lineRule="auto"/>
              <w:jc w:val="left"/>
              <w:rPr>
                <w:rFonts w:hint="default" w:eastAsia="宋体" w:cs="Times New Roman"/>
                <w:color w:val="auto"/>
                <w:lang w:val="en-US" w:eastAsia="zh-CN"/>
              </w:rPr>
            </w:pPr>
            <w:r>
              <w:rPr>
                <w:rFonts w:hint="eastAsia" w:eastAsia="宋体" w:cs="Times New Roman"/>
                <w:color w:val="auto"/>
                <w:lang w:val="en-US" w:eastAsia="zh-CN"/>
              </w:rPr>
              <w:t>生产经理负责对项目管理人员、相关方进行绿色施工技术交底；负责组织落实各项绿色施工措施；组织一线工人参加绿色施工相关活动。</w:t>
            </w:r>
          </w:p>
        </w:tc>
      </w:tr>
      <w:tr w14:paraId="0A88AA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78FF6D9A">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6</w:t>
            </w:r>
          </w:p>
        </w:tc>
        <w:tc>
          <w:tcPr>
            <w:tcW w:w="4580" w:type="pct"/>
            <w:noWrap w:val="0"/>
            <w:vAlign w:val="center"/>
          </w:tcPr>
          <w:p w14:paraId="6036FD4D">
            <w:pPr>
              <w:pStyle w:val="61"/>
              <w:spacing w:line="240" w:lineRule="auto"/>
              <w:jc w:val="left"/>
              <w:rPr>
                <w:rFonts w:hint="default" w:eastAsia="宋体" w:cs="Times New Roman"/>
                <w:color w:val="auto"/>
                <w:lang w:val="en-US" w:eastAsia="zh-CN"/>
              </w:rPr>
            </w:pPr>
            <w:r>
              <w:rPr>
                <w:rFonts w:hint="eastAsia" w:eastAsia="宋体" w:cs="Times New Roman"/>
                <w:color w:val="auto"/>
                <w:lang w:val="en-US" w:eastAsia="zh-CN"/>
              </w:rPr>
              <w:t>合同商务负责人负责核算绿色施工成本、“四节措施”经济效益分析。</w:t>
            </w:r>
          </w:p>
        </w:tc>
      </w:tr>
      <w:tr w14:paraId="13F9D1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0D909A96">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7</w:t>
            </w:r>
          </w:p>
        </w:tc>
        <w:tc>
          <w:tcPr>
            <w:tcW w:w="4580" w:type="pct"/>
            <w:noWrap w:val="0"/>
            <w:vAlign w:val="center"/>
          </w:tcPr>
          <w:p w14:paraId="4228EA23">
            <w:pPr>
              <w:pStyle w:val="61"/>
              <w:spacing w:line="240" w:lineRule="auto"/>
              <w:jc w:val="left"/>
              <w:rPr>
                <w:rFonts w:hint="default" w:eastAsia="宋体" w:cs="Times New Roman"/>
                <w:color w:val="auto"/>
                <w:lang w:val="en-US" w:eastAsia="zh-CN"/>
              </w:rPr>
            </w:pPr>
            <w:r>
              <w:rPr>
                <w:rFonts w:hint="eastAsia" w:eastAsia="宋体" w:cs="Times New Roman"/>
                <w:color w:val="auto"/>
                <w:lang w:val="en-US" w:eastAsia="zh-CN"/>
              </w:rPr>
              <w:t>项目质量负责人负责对工程绿色节能材料（产品）质量、施工质量进行严格控制；推行国家新的施工工艺和验收标准，加强过程质量控制。</w:t>
            </w:r>
          </w:p>
        </w:tc>
      </w:tr>
      <w:tr w14:paraId="4792F1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71E811C0">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8</w:t>
            </w:r>
          </w:p>
        </w:tc>
        <w:tc>
          <w:tcPr>
            <w:tcW w:w="4580" w:type="pct"/>
            <w:noWrap w:val="0"/>
            <w:vAlign w:val="center"/>
          </w:tcPr>
          <w:p w14:paraId="658BE979">
            <w:pPr>
              <w:pStyle w:val="61"/>
              <w:spacing w:line="240" w:lineRule="auto"/>
              <w:jc w:val="left"/>
              <w:rPr>
                <w:rFonts w:hint="default" w:eastAsia="宋体" w:cs="Times New Roman"/>
                <w:color w:val="auto"/>
                <w:lang w:val="en-US" w:eastAsia="zh-CN"/>
              </w:rPr>
            </w:pPr>
            <w:r>
              <w:rPr>
                <w:rFonts w:hint="eastAsia" w:eastAsia="宋体" w:cs="Times New Roman"/>
                <w:color w:val="auto"/>
                <w:lang w:val="en-US" w:eastAsia="zh-CN"/>
              </w:rPr>
              <w:t>项目安全负责人负责对现场危险源进行动态识别分析，重点监控重大危险源；贯彻国家及地方的有关工程安全与文明施工规范。</w:t>
            </w:r>
          </w:p>
        </w:tc>
      </w:tr>
      <w:tr w14:paraId="5D67A2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43DD4A59">
            <w:pPr>
              <w:pStyle w:val="61"/>
              <w:spacing w:line="240" w:lineRule="auto"/>
              <w:jc w:val="center"/>
              <w:rPr>
                <w:rFonts w:hint="default" w:eastAsia="宋体" w:cs="Times New Roman"/>
                <w:color w:val="auto"/>
                <w:lang w:val="en-US" w:eastAsia="zh-CN"/>
              </w:rPr>
            </w:pPr>
            <w:r>
              <w:rPr>
                <w:rFonts w:hint="default" w:eastAsia="宋体" w:cs="Times New Roman"/>
                <w:color w:val="auto"/>
                <w:lang w:val="en-US" w:eastAsia="zh-CN"/>
              </w:rPr>
              <w:t>9</w:t>
            </w:r>
          </w:p>
        </w:tc>
        <w:tc>
          <w:tcPr>
            <w:tcW w:w="4580" w:type="pct"/>
            <w:noWrap w:val="0"/>
            <w:vAlign w:val="center"/>
          </w:tcPr>
          <w:p w14:paraId="4B037837">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项目技术部的职责</w:t>
            </w:r>
          </w:p>
          <w:p w14:paraId="3FAF99FB">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负责绿色施工的策划、分段总结及改进推广工作；</w:t>
            </w:r>
          </w:p>
          <w:p w14:paraId="55BF5204">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负责绿色施工示范工程的过程数据分析、处理，提出阶段性分析报告；</w:t>
            </w:r>
          </w:p>
          <w:p w14:paraId="6B5EC7DC">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负责绿色施工成果的总结与申报。</w:t>
            </w:r>
          </w:p>
          <w:p w14:paraId="6A5A2B5C">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项目物资部的职责</w:t>
            </w:r>
          </w:p>
          <w:p w14:paraId="74ED981C">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负责组织材料进场的验收；</w:t>
            </w:r>
          </w:p>
          <w:p w14:paraId="1DAF5EDE">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负责物资消耗、进出场数据的收集与分析。</w:t>
            </w:r>
          </w:p>
          <w:p w14:paraId="12A97636">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项目合约部的职责</w:t>
            </w:r>
          </w:p>
          <w:p w14:paraId="2BCE1BB4">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负责绿色施工经济效益的分析。</w:t>
            </w:r>
          </w:p>
          <w:p w14:paraId="00672066">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项目品质保障部</w:t>
            </w:r>
          </w:p>
          <w:p w14:paraId="4D3E09A8">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负责原材料的取样送检以及结果反馈；</w:t>
            </w:r>
          </w:p>
          <w:p w14:paraId="3D6CDDFE">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负责施工质量过程的动态监控，施工质量的自查验收；</w:t>
            </w:r>
          </w:p>
          <w:p w14:paraId="508AB689">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负责施工质保资料的收集。</w:t>
            </w:r>
          </w:p>
          <w:p w14:paraId="396EC4B8">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项目安全部</w:t>
            </w:r>
          </w:p>
          <w:p w14:paraId="4802B737">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负责项目安全生产、文明施工和环境保护工作；</w:t>
            </w:r>
          </w:p>
          <w:p w14:paraId="737545C0">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负责项目职业健康安全管理计划、环境管理计划和管理制度并监督实施。</w:t>
            </w:r>
          </w:p>
          <w:p w14:paraId="47910EFE">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项目综合部</w:t>
            </w:r>
          </w:p>
          <w:p w14:paraId="209E29C2">
            <w:pPr>
              <w:pStyle w:val="61"/>
              <w:spacing w:line="240" w:lineRule="auto"/>
              <w:jc w:val="left"/>
              <w:rPr>
                <w:rStyle w:val="62"/>
                <w:rFonts w:ascii="宋体" w:hAnsi="宋体" w:eastAsia="宋体" w:cs="Times New Roman"/>
                <w:color w:val="auto"/>
                <w:sz w:val="21"/>
                <w:szCs w:val="20"/>
              </w:rPr>
            </w:pPr>
            <w:r>
              <w:rPr>
                <w:rStyle w:val="62"/>
                <w:rFonts w:hint="default" w:ascii="宋体" w:hAnsi="宋体" w:eastAsia="宋体" w:cs="Times New Roman"/>
                <w:color w:val="auto"/>
                <w:sz w:val="21"/>
                <w:szCs w:val="20"/>
              </w:rPr>
              <w:t>负责项目绿色施工进展、成果等的宣传；</w:t>
            </w:r>
          </w:p>
          <w:p w14:paraId="2086CC93">
            <w:pPr>
              <w:pStyle w:val="61"/>
              <w:spacing w:line="240" w:lineRule="auto"/>
              <w:jc w:val="left"/>
              <w:rPr>
                <w:rFonts w:hint="default" w:eastAsia="宋体" w:cs="Times New Roman"/>
                <w:color w:val="auto"/>
                <w:lang w:val="en-US" w:eastAsia="zh-CN"/>
              </w:rPr>
            </w:pPr>
            <w:r>
              <w:rPr>
                <w:rStyle w:val="62"/>
                <w:rFonts w:hint="default" w:ascii="宋体" w:hAnsi="宋体" w:eastAsia="宋体" w:cs="Times New Roman"/>
                <w:color w:val="auto"/>
                <w:sz w:val="21"/>
                <w:szCs w:val="20"/>
              </w:rPr>
              <w:t>负责绿色施工示范工程的验收接待工作。</w:t>
            </w:r>
          </w:p>
        </w:tc>
      </w:tr>
    </w:tbl>
    <w:p w14:paraId="50FAD489">
      <w:pPr>
        <w:pStyle w:val="7"/>
        <w:ind w:firstLine="0"/>
        <w:rPr>
          <w:rFonts w:ascii="宋体" w:hAnsi="宋体"/>
          <w:b w:val="0"/>
          <w:bCs w:val="0"/>
          <w:color w:val="auto"/>
        </w:rPr>
      </w:pPr>
      <w:bookmarkStart w:id="35" w:name="_Toc30621"/>
      <w:r>
        <w:rPr>
          <w:rFonts w:hint="eastAsia" w:ascii="宋体" w:hAnsi="宋体"/>
          <w:b w:val="0"/>
          <w:bCs w:val="0"/>
          <w:color w:val="auto"/>
        </w:rPr>
        <w:t>绿色施工过程管理</w:t>
      </w:r>
      <w:bookmarkEnd w:id="35"/>
    </w:p>
    <w:p w14:paraId="401D5E0A">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1、绿色施工总体框架由施工管理、环境保护、节材与材料资源利用、节水与水资源利用、节能与能源利用、节地与施工用地保护六个方面组成。</w:t>
      </w:r>
    </w:p>
    <w:p w14:paraId="146D3654">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2、绿色施工管理主要包括组织管理、规划管理、实施管理、评价管理和人员安全与健康管理五个方面。</w:t>
      </w:r>
    </w:p>
    <w:p w14:paraId="797363B7">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3、组织管理</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92"/>
        <w:gridCol w:w="8394"/>
      </w:tblGrid>
      <w:tr w14:paraId="7BD94E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80" w:type="pct"/>
            <w:noWrap w:val="0"/>
            <w:vAlign w:val="center"/>
          </w:tcPr>
          <w:p w14:paraId="27CBF45B">
            <w:pPr>
              <w:pStyle w:val="61"/>
              <w:spacing w:line="240" w:lineRule="auto"/>
              <w:jc w:val="center"/>
              <w:rPr>
                <w:rFonts w:hint="eastAsia" w:eastAsia="宋体" w:cs="Times New Roman"/>
                <w:color w:val="auto"/>
              </w:rPr>
            </w:pPr>
            <w:r>
              <w:rPr>
                <w:rFonts w:hint="eastAsia" w:eastAsia="宋体" w:cs="Times New Roman"/>
                <w:color w:val="auto"/>
              </w:rPr>
              <w:t>序号</w:t>
            </w:r>
          </w:p>
        </w:tc>
        <w:tc>
          <w:tcPr>
            <w:tcW w:w="4519" w:type="pct"/>
            <w:noWrap w:val="0"/>
            <w:vAlign w:val="center"/>
          </w:tcPr>
          <w:p w14:paraId="00A5AEC5">
            <w:pPr>
              <w:pStyle w:val="61"/>
              <w:spacing w:line="240" w:lineRule="auto"/>
              <w:jc w:val="center"/>
              <w:rPr>
                <w:rFonts w:hint="eastAsia" w:eastAsia="宋体" w:cs="Times New Roman"/>
                <w:color w:val="auto"/>
              </w:rPr>
            </w:pPr>
            <w:r>
              <w:rPr>
                <w:rFonts w:hint="eastAsia" w:eastAsia="宋体" w:cs="Times New Roman"/>
                <w:color w:val="auto"/>
              </w:rPr>
              <w:t>内容</w:t>
            </w:r>
          </w:p>
        </w:tc>
      </w:tr>
      <w:tr w14:paraId="64E646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80" w:type="pct"/>
            <w:noWrap w:val="0"/>
            <w:vAlign w:val="center"/>
          </w:tcPr>
          <w:p w14:paraId="11733890">
            <w:pPr>
              <w:pStyle w:val="61"/>
              <w:spacing w:line="240" w:lineRule="auto"/>
              <w:jc w:val="center"/>
              <w:rPr>
                <w:rFonts w:hint="eastAsia" w:eastAsia="宋体" w:cs="Times New Roman"/>
                <w:color w:val="auto"/>
              </w:rPr>
            </w:pPr>
            <w:r>
              <w:rPr>
                <w:rFonts w:hint="eastAsia" w:eastAsia="宋体" w:cs="Times New Roman"/>
                <w:color w:val="auto"/>
              </w:rPr>
              <w:t>1</w:t>
            </w:r>
          </w:p>
        </w:tc>
        <w:tc>
          <w:tcPr>
            <w:tcW w:w="4519" w:type="pct"/>
            <w:noWrap w:val="0"/>
            <w:vAlign w:val="center"/>
          </w:tcPr>
          <w:p w14:paraId="3C4F355D">
            <w:pPr>
              <w:pStyle w:val="61"/>
              <w:spacing w:line="240" w:lineRule="auto"/>
              <w:jc w:val="left"/>
              <w:rPr>
                <w:rFonts w:hint="eastAsia" w:eastAsia="宋体" w:cs="Times New Roman"/>
                <w:color w:val="auto"/>
              </w:rPr>
            </w:pPr>
            <w:r>
              <w:rPr>
                <w:rFonts w:hint="eastAsia" w:eastAsia="宋体" w:cs="Times New Roman"/>
                <w:color w:val="auto"/>
              </w:rPr>
              <w:t>各单位、项目应建立绿色施工管理体系，制定绿色施工管理责任制度与控制目标，并分解下达到各部门和人员。</w:t>
            </w:r>
          </w:p>
        </w:tc>
      </w:tr>
      <w:tr w14:paraId="008A76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80" w:type="pct"/>
            <w:noWrap w:val="0"/>
            <w:vAlign w:val="center"/>
          </w:tcPr>
          <w:p w14:paraId="424FDB76">
            <w:pPr>
              <w:pStyle w:val="61"/>
              <w:spacing w:line="240" w:lineRule="auto"/>
              <w:jc w:val="center"/>
              <w:rPr>
                <w:rFonts w:hint="eastAsia" w:eastAsia="宋体" w:cs="Times New Roman"/>
                <w:color w:val="auto"/>
              </w:rPr>
            </w:pPr>
            <w:r>
              <w:rPr>
                <w:rFonts w:hint="eastAsia" w:eastAsia="宋体" w:cs="Times New Roman"/>
                <w:color w:val="auto"/>
              </w:rPr>
              <w:t>2</w:t>
            </w:r>
          </w:p>
        </w:tc>
        <w:tc>
          <w:tcPr>
            <w:tcW w:w="4519" w:type="pct"/>
            <w:noWrap w:val="0"/>
            <w:vAlign w:val="center"/>
          </w:tcPr>
          <w:p w14:paraId="10867F02">
            <w:pPr>
              <w:pStyle w:val="61"/>
              <w:spacing w:line="240" w:lineRule="auto"/>
              <w:jc w:val="left"/>
              <w:rPr>
                <w:rFonts w:hint="eastAsia" w:eastAsia="宋体" w:cs="Times New Roman"/>
                <w:color w:val="auto"/>
              </w:rPr>
            </w:pPr>
            <w:r>
              <w:rPr>
                <w:rFonts w:hint="eastAsia" w:eastAsia="宋体" w:cs="Times New Roman"/>
                <w:color w:val="auto"/>
              </w:rPr>
              <w:t>项目经理为项目绿色施工第一责任人，负责绿色施工的组织实施及目标实现，并指定绿色施工管理人员和监督人员。</w:t>
            </w:r>
          </w:p>
        </w:tc>
      </w:tr>
    </w:tbl>
    <w:p w14:paraId="0413F2A8">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4、规划管理</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54"/>
        <w:gridCol w:w="8432"/>
      </w:tblGrid>
      <w:tr w14:paraId="1810EB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60" w:type="pct"/>
            <w:noWrap w:val="0"/>
            <w:vAlign w:val="center"/>
          </w:tcPr>
          <w:p w14:paraId="608430AC">
            <w:pPr>
              <w:pStyle w:val="61"/>
              <w:spacing w:line="240" w:lineRule="auto"/>
              <w:jc w:val="center"/>
              <w:rPr>
                <w:rFonts w:hint="eastAsia" w:eastAsia="宋体" w:cs="Times New Roman"/>
                <w:color w:val="auto"/>
              </w:rPr>
            </w:pPr>
            <w:r>
              <w:rPr>
                <w:rFonts w:hint="eastAsia" w:eastAsia="宋体" w:cs="Times New Roman"/>
                <w:color w:val="auto"/>
              </w:rPr>
              <w:t>序号</w:t>
            </w:r>
          </w:p>
        </w:tc>
        <w:tc>
          <w:tcPr>
            <w:tcW w:w="4539" w:type="pct"/>
            <w:noWrap w:val="0"/>
            <w:vAlign w:val="center"/>
          </w:tcPr>
          <w:p w14:paraId="285B95E5">
            <w:pPr>
              <w:pStyle w:val="61"/>
              <w:spacing w:line="240" w:lineRule="auto"/>
              <w:jc w:val="center"/>
              <w:rPr>
                <w:rFonts w:hint="eastAsia" w:eastAsia="宋体" w:cs="Times New Roman"/>
                <w:color w:val="auto"/>
              </w:rPr>
            </w:pPr>
            <w:r>
              <w:rPr>
                <w:rFonts w:hint="eastAsia" w:eastAsia="宋体" w:cs="Times New Roman"/>
                <w:color w:val="auto"/>
              </w:rPr>
              <w:t>内容</w:t>
            </w:r>
          </w:p>
        </w:tc>
      </w:tr>
      <w:tr w14:paraId="0AA43C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60" w:type="pct"/>
            <w:noWrap w:val="0"/>
            <w:vAlign w:val="center"/>
          </w:tcPr>
          <w:p w14:paraId="13BDA12A">
            <w:pPr>
              <w:pStyle w:val="61"/>
              <w:spacing w:line="240" w:lineRule="auto"/>
              <w:jc w:val="center"/>
              <w:rPr>
                <w:rFonts w:hint="eastAsia" w:eastAsia="宋体" w:cs="Times New Roman"/>
                <w:color w:val="auto"/>
              </w:rPr>
            </w:pPr>
            <w:r>
              <w:rPr>
                <w:rFonts w:hint="eastAsia" w:eastAsia="宋体" w:cs="Times New Roman"/>
                <w:color w:val="auto"/>
              </w:rPr>
              <w:t>1</w:t>
            </w:r>
          </w:p>
        </w:tc>
        <w:tc>
          <w:tcPr>
            <w:tcW w:w="4539" w:type="pct"/>
            <w:noWrap w:val="0"/>
            <w:vAlign w:val="center"/>
          </w:tcPr>
          <w:p w14:paraId="32458B9B">
            <w:pPr>
              <w:pStyle w:val="61"/>
              <w:spacing w:line="240" w:lineRule="auto"/>
              <w:jc w:val="center"/>
              <w:rPr>
                <w:rFonts w:hint="eastAsia" w:eastAsia="宋体" w:cs="Times New Roman"/>
                <w:color w:val="auto"/>
              </w:rPr>
            </w:pPr>
            <w:r>
              <w:rPr>
                <w:rFonts w:hint="eastAsia" w:eastAsia="宋体" w:cs="Times New Roman"/>
                <w:color w:val="auto"/>
              </w:rPr>
              <w:t>项目部要编制绿色施工方案，在施工组织设计中独立成章，并按规定进行审批。</w:t>
            </w:r>
          </w:p>
        </w:tc>
      </w:tr>
      <w:tr w14:paraId="3079A0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60" w:type="pct"/>
            <w:noWrap w:val="0"/>
            <w:vAlign w:val="center"/>
          </w:tcPr>
          <w:p w14:paraId="0E4418CD">
            <w:pPr>
              <w:pStyle w:val="61"/>
              <w:spacing w:line="240" w:lineRule="auto"/>
              <w:jc w:val="center"/>
              <w:rPr>
                <w:rFonts w:hint="eastAsia" w:eastAsia="宋体" w:cs="Times New Roman"/>
                <w:color w:val="auto"/>
              </w:rPr>
            </w:pPr>
            <w:r>
              <w:rPr>
                <w:rFonts w:hint="eastAsia" w:eastAsia="宋体" w:cs="Times New Roman"/>
                <w:color w:val="auto"/>
              </w:rPr>
              <w:t>2</w:t>
            </w:r>
          </w:p>
        </w:tc>
        <w:tc>
          <w:tcPr>
            <w:tcW w:w="4539" w:type="pct"/>
            <w:noWrap w:val="0"/>
            <w:vAlign w:val="center"/>
          </w:tcPr>
          <w:p w14:paraId="3D4B88B6">
            <w:pPr>
              <w:pStyle w:val="61"/>
              <w:spacing w:line="240" w:lineRule="auto"/>
              <w:jc w:val="left"/>
              <w:rPr>
                <w:rFonts w:hint="eastAsia" w:eastAsia="宋体" w:cs="Times New Roman"/>
                <w:color w:val="auto"/>
              </w:rPr>
            </w:pPr>
            <w:r>
              <w:rPr>
                <w:rFonts w:hint="eastAsia" w:eastAsia="宋体" w:cs="Times New Roman"/>
                <w:color w:val="auto"/>
              </w:rPr>
              <w:t>绿色施工方案应包括以下内容：</w:t>
            </w:r>
          </w:p>
          <w:p w14:paraId="6D8A1688">
            <w:pPr>
              <w:pStyle w:val="61"/>
              <w:spacing w:line="240" w:lineRule="auto"/>
              <w:jc w:val="left"/>
              <w:rPr>
                <w:rFonts w:hint="eastAsia" w:eastAsia="宋体" w:cs="Times New Roman"/>
                <w:color w:val="auto"/>
              </w:rPr>
            </w:pPr>
            <w:r>
              <w:rPr>
                <w:rFonts w:hint="eastAsia" w:eastAsia="宋体" w:cs="Times New Roman"/>
                <w:color w:val="auto"/>
              </w:rPr>
              <w:t>环境保护措施，制定环境管理计划及应急救援预案，采取有效措施，降低环境负荷，保护地下设施和文物等资源。</w:t>
            </w:r>
          </w:p>
          <w:p w14:paraId="67896C79">
            <w:pPr>
              <w:pStyle w:val="61"/>
              <w:spacing w:line="240" w:lineRule="auto"/>
              <w:jc w:val="left"/>
              <w:rPr>
                <w:rFonts w:hint="eastAsia" w:eastAsia="宋体" w:cs="Times New Roman"/>
                <w:color w:val="auto"/>
              </w:rPr>
            </w:pPr>
            <w:r>
              <w:rPr>
                <w:rFonts w:hint="eastAsia" w:eastAsia="宋体" w:cs="Times New Roman"/>
                <w:color w:val="auto"/>
              </w:rPr>
              <w:t>节材措施，在保证工程安全与质量的前提下，制定节材措施。如进行施工方案的节材优化，建筑垃圾减量化，尽量利用可循环材料等。</w:t>
            </w:r>
          </w:p>
          <w:p w14:paraId="2F1073F4">
            <w:pPr>
              <w:pStyle w:val="61"/>
              <w:spacing w:line="240" w:lineRule="auto"/>
              <w:jc w:val="left"/>
              <w:rPr>
                <w:rFonts w:hint="eastAsia" w:eastAsia="宋体" w:cs="Times New Roman"/>
                <w:color w:val="auto"/>
              </w:rPr>
            </w:pPr>
            <w:r>
              <w:rPr>
                <w:rFonts w:hint="eastAsia" w:eastAsia="宋体" w:cs="Times New Roman"/>
                <w:color w:val="auto"/>
              </w:rPr>
              <w:t>节水措施，根据工程所在地的水资源状况，制定节水措施。</w:t>
            </w:r>
          </w:p>
          <w:p w14:paraId="2CDC7279">
            <w:pPr>
              <w:pStyle w:val="61"/>
              <w:spacing w:line="240" w:lineRule="auto"/>
              <w:jc w:val="left"/>
              <w:rPr>
                <w:rFonts w:hint="eastAsia" w:eastAsia="宋体" w:cs="Times New Roman"/>
                <w:color w:val="auto"/>
              </w:rPr>
            </w:pPr>
            <w:r>
              <w:rPr>
                <w:rFonts w:hint="eastAsia" w:eastAsia="宋体" w:cs="Times New Roman"/>
                <w:color w:val="auto"/>
              </w:rPr>
              <w:t>节能措施，进行施工节能策划，确定目标，制定节能措施。</w:t>
            </w:r>
          </w:p>
          <w:p w14:paraId="2B63344F">
            <w:pPr>
              <w:pStyle w:val="61"/>
              <w:spacing w:line="240" w:lineRule="auto"/>
              <w:jc w:val="left"/>
              <w:rPr>
                <w:rFonts w:hint="eastAsia" w:eastAsia="宋体" w:cs="Times New Roman"/>
                <w:color w:val="auto"/>
              </w:rPr>
            </w:pPr>
            <w:r>
              <w:rPr>
                <w:rFonts w:hint="eastAsia" w:eastAsia="宋体" w:cs="Times New Roman"/>
                <w:color w:val="auto"/>
              </w:rPr>
              <w:t>节地与施工用地保护措施，制定临时用地指标、施工总平面布置规划及临时用地节地措施等。</w:t>
            </w:r>
          </w:p>
        </w:tc>
      </w:tr>
    </w:tbl>
    <w:p w14:paraId="589435C0">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5、实施管理</w:t>
      </w:r>
    </w:p>
    <w:p w14:paraId="734A3353">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项目部应对绿色施工实施动态管理，加强对施工策划、施工准备、材料采购、现场施工、工程验收等各阶段的管理和监督。</w:t>
      </w:r>
    </w:p>
    <w:p w14:paraId="2A913404">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项目部应定期对职工进行绿色施工知识培训，增强职工绿色施工意识，营造绿色施工的氛围。</w:t>
      </w:r>
    </w:p>
    <w:p w14:paraId="6BE04769">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在施工现场的办公区和生活区应设置明显的有节水、节能、节约材料等具体内容的警示标识，并按规定设置安全警示标志。</w:t>
      </w:r>
    </w:p>
    <w:p w14:paraId="11B64B0E">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6、评价管理与验收</w:t>
      </w:r>
    </w:p>
    <w:p w14:paraId="3FDCEB21">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项目部应每周对绿色施工实施情况进行检查。</w:t>
      </w:r>
    </w:p>
    <w:p w14:paraId="02C6BFD6">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单位、项目部对绿色施工的效果，定期组织评估。</w:t>
      </w:r>
    </w:p>
    <w:p w14:paraId="160FE1C7">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单位在项目主体结构施工完毕，应对项目绿色施工组织验收。</w:t>
      </w:r>
    </w:p>
    <w:p w14:paraId="272394C0">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验收表见相关规范、文件。</w:t>
      </w:r>
    </w:p>
    <w:p w14:paraId="3EAFE20E">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7、人员安全与健康管理</w:t>
      </w:r>
    </w:p>
    <w:p w14:paraId="57DF0A0B">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单位、项目部应制订施工防尘、防毒、防辐射等职业危害的措施，保障施工人员的长期职业健康。</w:t>
      </w:r>
    </w:p>
    <w:p w14:paraId="3FA4DE20">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项目部应合理布置施工场地，保护生活及办公区不受施工活动的有害影响。施工现场建立卫生急救、保健防疫制度，在安全事故和疾病疫情出现时提供及时救助。</w:t>
      </w:r>
    </w:p>
    <w:p w14:paraId="0DAB545F">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加强对施工人员的住宿、膳食、饮用水等生活与环境卫生等管理，明显改善施工人员的生活条件。</w:t>
      </w:r>
    </w:p>
    <w:p w14:paraId="28C9C4AB">
      <w:pPr>
        <w:pStyle w:val="7"/>
        <w:ind w:firstLine="0"/>
        <w:rPr>
          <w:rFonts w:ascii="宋体" w:hAnsi="宋体"/>
          <w:b w:val="0"/>
          <w:bCs w:val="0"/>
          <w:color w:val="auto"/>
        </w:rPr>
      </w:pPr>
      <w:bookmarkStart w:id="36" w:name="_Toc17896"/>
      <w:r>
        <w:rPr>
          <w:rFonts w:hint="eastAsia" w:ascii="宋体" w:hAnsi="宋体"/>
          <w:b w:val="0"/>
          <w:bCs w:val="0"/>
          <w:color w:val="auto"/>
        </w:rPr>
        <w:t>绿色施工的实施</w:t>
      </w:r>
      <w:bookmarkEnd w:id="36"/>
    </w:p>
    <w:p w14:paraId="431FFFE4">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1、环境保护</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693"/>
        <w:gridCol w:w="925"/>
        <w:gridCol w:w="7668"/>
      </w:tblGrid>
      <w:tr w14:paraId="0F36EB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73" w:type="pct"/>
            <w:noWrap w:val="0"/>
            <w:vAlign w:val="center"/>
          </w:tcPr>
          <w:p w14:paraId="5249F510">
            <w:pPr>
              <w:pStyle w:val="61"/>
              <w:spacing w:line="240" w:lineRule="auto"/>
              <w:jc w:val="center"/>
              <w:rPr>
                <w:rFonts w:hint="eastAsia" w:eastAsia="宋体" w:cs="Times New Roman"/>
                <w:color w:val="auto"/>
              </w:rPr>
            </w:pPr>
            <w:r>
              <w:rPr>
                <w:rFonts w:hint="eastAsia" w:eastAsia="宋体" w:cs="Times New Roman"/>
                <w:color w:val="auto"/>
              </w:rPr>
              <w:t>序号</w:t>
            </w:r>
          </w:p>
        </w:tc>
        <w:tc>
          <w:tcPr>
            <w:tcW w:w="498" w:type="pct"/>
            <w:noWrap w:val="0"/>
            <w:vAlign w:val="center"/>
          </w:tcPr>
          <w:p w14:paraId="7CC5AFC2">
            <w:pPr>
              <w:pStyle w:val="61"/>
              <w:spacing w:line="240" w:lineRule="auto"/>
              <w:jc w:val="center"/>
              <w:rPr>
                <w:rFonts w:hint="eastAsia" w:eastAsia="宋体" w:cs="Times New Roman"/>
                <w:color w:val="auto"/>
              </w:rPr>
            </w:pPr>
            <w:r>
              <w:rPr>
                <w:rFonts w:hint="eastAsia" w:eastAsia="宋体" w:cs="Times New Roman"/>
                <w:color w:val="auto"/>
              </w:rPr>
              <w:t>名称</w:t>
            </w:r>
          </w:p>
        </w:tc>
        <w:tc>
          <w:tcPr>
            <w:tcW w:w="4128" w:type="pct"/>
            <w:noWrap w:val="0"/>
            <w:vAlign w:val="center"/>
          </w:tcPr>
          <w:p w14:paraId="22F4AB2C">
            <w:pPr>
              <w:pStyle w:val="61"/>
              <w:spacing w:line="240" w:lineRule="auto"/>
              <w:jc w:val="center"/>
              <w:rPr>
                <w:rFonts w:hint="eastAsia" w:eastAsia="宋体" w:cs="Times New Roman"/>
                <w:color w:val="auto"/>
              </w:rPr>
            </w:pPr>
            <w:r>
              <w:rPr>
                <w:rFonts w:hint="eastAsia" w:eastAsia="宋体" w:cs="Times New Roman"/>
                <w:color w:val="auto"/>
              </w:rPr>
              <w:t>内容</w:t>
            </w:r>
          </w:p>
        </w:tc>
      </w:tr>
      <w:tr w14:paraId="750336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73" w:type="pct"/>
            <w:noWrap w:val="0"/>
            <w:vAlign w:val="center"/>
          </w:tcPr>
          <w:p w14:paraId="6EA9B36E">
            <w:pPr>
              <w:pStyle w:val="61"/>
              <w:spacing w:line="240" w:lineRule="auto"/>
              <w:jc w:val="center"/>
              <w:rPr>
                <w:rFonts w:hint="eastAsia" w:eastAsia="宋体" w:cs="Times New Roman"/>
                <w:color w:val="auto"/>
              </w:rPr>
            </w:pPr>
            <w:r>
              <w:rPr>
                <w:rFonts w:hint="eastAsia" w:eastAsia="宋体" w:cs="Times New Roman"/>
                <w:color w:val="auto"/>
              </w:rPr>
              <w:t>1</w:t>
            </w:r>
          </w:p>
        </w:tc>
        <w:tc>
          <w:tcPr>
            <w:tcW w:w="498" w:type="pct"/>
            <w:noWrap w:val="0"/>
            <w:vAlign w:val="center"/>
          </w:tcPr>
          <w:p w14:paraId="57650E1F">
            <w:pPr>
              <w:pStyle w:val="61"/>
              <w:spacing w:line="240" w:lineRule="auto"/>
              <w:jc w:val="center"/>
              <w:rPr>
                <w:rFonts w:hint="eastAsia" w:eastAsia="宋体" w:cs="Times New Roman"/>
                <w:color w:val="auto"/>
              </w:rPr>
            </w:pPr>
            <w:r>
              <w:rPr>
                <w:rFonts w:hint="eastAsia" w:eastAsia="宋体" w:cs="Times New Roman"/>
                <w:color w:val="auto"/>
              </w:rPr>
              <w:t>扬尘控制</w:t>
            </w:r>
          </w:p>
        </w:tc>
        <w:tc>
          <w:tcPr>
            <w:tcW w:w="4128" w:type="pct"/>
            <w:noWrap w:val="0"/>
            <w:vAlign w:val="center"/>
          </w:tcPr>
          <w:p w14:paraId="61379C1A">
            <w:pPr>
              <w:pStyle w:val="61"/>
              <w:spacing w:line="240" w:lineRule="auto"/>
              <w:jc w:val="left"/>
              <w:rPr>
                <w:rFonts w:hint="eastAsia" w:eastAsia="宋体" w:cs="Times New Roman"/>
                <w:color w:val="auto"/>
              </w:rPr>
            </w:pPr>
            <w:r>
              <w:rPr>
                <w:rFonts w:hint="eastAsia" w:eastAsia="宋体" w:cs="Times New Roman"/>
                <w:color w:val="auto"/>
              </w:rPr>
              <w:t>施工现场主要道路应根据用途进行硬化处理，土方应集中堆放。裸露的场地和集中堆放的土方应采取覆盖或固化等措施。</w:t>
            </w:r>
          </w:p>
          <w:p w14:paraId="6D28439D">
            <w:pPr>
              <w:pStyle w:val="61"/>
              <w:spacing w:line="240" w:lineRule="auto"/>
              <w:jc w:val="left"/>
              <w:rPr>
                <w:rFonts w:hint="eastAsia" w:eastAsia="宋体" w:cs="Times New Roman"/>
                <w:color w:val="auto"/>
              </w:rPr>
            </w:pPr>
            <w:r>
              <w:rPr>
                <w:rFonts w:hint="eastAsia" w:eastAsia="宋体" w:cs="Times New Roman"/>
                <w:color w:val="auto"/>
              </w:rPr>
              <w:t>施工现场材料存放区、加工区及大模板存放场地应平整坚实。</w:t>
            </w:r>
          </w:p>
          <w:p w14:paraId="039F0C5B">
            <w:pPr>
              <w:pStyle w:val="61"/>
              <w:spacing w:line="240" w:lineRule="auto"/>
              <w:jc w:val="left"/>
              <w:rPr>
                <w:rFonts w:hint="eastAsia" w:eastAsia="宋体" w:cs="Times New Roman"/>
                <w:color w:val="auto"/>
              </w:rPr>
            </w:pPr>
            <w:r>
              <w:rPr>
                <w:rFonts w:hint="eastAsia" w:eastAsia="宋体" w:cs="Times New Roman"/>
                <w:color w:val="auto"/>
              </w:rPr>
              <w:t>运送土方、垃圾、设备及建筑材料等，不污损场外道路。运输容易散落、飞扬、流漏的物料的车辆，必须采取措施封闭严密，保证车辆清洁。</w:t>
            </w:r>
          </w:p>
          <w:p w14:paraId="244E9B5A">
            <w:pPr>
              <w:pStyle w:val="61"/>
              <w:spacing w:line="240" w:lineRule="auto"/>
              <w:jc w:val="left"/>
              <w:rPr>
                <w:rFonts w:hint="eastAsia" w:eastAsia="宋体" w:cs="Times New Roman"/>
                <w:color w:val="auto"/>
              </w:rPr>
            </w:pPr>
            <w:r>
              <w:rPr>
                <w:rFonts w:hint="eastAsia" w:eastAsia="宋体" w:cs="Times New Roman"/>
                <w:color w:val="auto"/>
              </w:rPr>
              <w:t>施工现场大门口应设置洗车槽和冲洗设备，配备保洁人员进行冲洗和清扫。</w:t>
            </w:r>
          </w:p>
          <w:p w14:paraId="06B50AEB">
            <w:pPr>
              <w:pStyle w:val="61"/>
              <w:spacing w:line="240" w:lineRule="auto"/>
              <w:jc w:val="left"/>
              <w:rPr>
                <w:rFonts w:hint="eastAsia" w:eastAsia="宋体" w:cs="Times New Roman"/>
                <w:color w:val="auto"/>
              </w:rPr>
            </w:pPr>
            <w:r>
              <w:rPr>
                <w:rFonts w:hint="eastAsia" w:eastAsia="宋体" w:cs="Times New Roman"/>
                <w:color w:val="auto"/>
              </w:rPr>
              <w:t>土方作业阶段，采取洒水、覆盖等措施，达到作业区目测扬尘高度小于1.5m；结构施工、安装装饰装修阶段，作业区目测扬尘高度小于0.5m；施工现场非作业区达到目测无扬尘的要求。</w:t>
            </w:r>
          </w:p>
          <w:p w14:paraId="7F13816E">
            <w:pPr>
              <w:pStyle w:val="61"/>
              <w:spacing w:line="240" w:lineRule="auto"/>
              <w:jc w:val="left"/>
              <w:rPr>
                <w:rFonts w:hint="eastAsia" w:eastAsia="宋体" w:cs="Times New Roman"/>
                <w:color w:val="auto"/>
              </w:rPr>
            </w:pPr>
            <w:r>
              <w:rPr>
                <w:rFonts w:hint="eastAsia" w:eastAsia="宋体" w:cs="Times New Roman"/>
                <w:color w:val="auto"/>
              </w:rPr>
              <w:t>在场界四周隔档高度位置测得的大气总悬浮颗粒物（TSP）月平均浓度与城市背景值的差值不大于0.08mg/m3。</w:t>
            </w:r>
          </w:p>
          <w:p w14:paraId="7C52B8AF">
            <w:pPr>
              <w:pStyle w:val="61"/>
              <w:spacing w:line="240" w:lineRule="auto"/>
              <w:jc w:val="left"/>
              <w:rPr>
                <w:rFonts w:hint="eastAsia" w:eastAsia="宋体" w:cs="Times New Roman"/>
                <w:color w:val="auto"/>
              </w:rPr>
            </w:pPr>
            <w:r>
              <w:rPr>
                <w:rFonts w:hint="eastAsia" w:eastAsia="宋体" w:cs="Times New Roman"/>
                <w:color w:val="auto"/>
              </w:rPr>
              <w:t>对易产生扬尘的堆放材料应采取覆盖措施，对粉末状材料应封闭存放。</w:t>
            </w:r>
          </w:p>
          <w:p w14:paraId="4C5212E8">
            <w:pPr>
              <w:pStyle w:val="61"/>
              <w:spacing w:line="240" w:lineRule="auto"/>
              <w:jc w:val="left"/>
              <w:rPr>
                <w:rFonts w:hint="eastAsia" w:eastAsia="宋体" w:cs="Times New Roman"/>
                <w:color w:val="auto"/>
              </w:rPr>
            </w:pPr>
            <w:r>
              <w:rPr>
                <w:rFonts w:hint="eastAsia" w:eastAsia="宋体" w:cs="Times New Roman"/>
                <w:color w:val="auto"/>
              </w:rPr>
              <w:t>遇有四级以上大风天气，不得进行土方回填、转运以及其他可能产生扬尘污染的施工。</w:t>
            </w:r>
          </w:p>
          <w:p w14:paraId="07811E74">
            <w:pPr>
              <w:pStyle w:val="61"/>
              <w:spacing w:line="240" w:lineRule="auto"/>
              <w:jc w:val="left"/>
              <w:rPr>
                <w:rFonts w:hint="eastAsia" w:eastAsia="宋体" w:cs="Times New Roman"/>
                <w:color w:val="auto"/>
              </w:rPr>
            </w:pPr>
            <w:r>
              <w:rPr>
                <w:rFonts w:hint="eastAsia" w:eastAsia="宋体" w:cs="Times New Roman"/>
                <w:color w:val="auto"/>
              </w:rPr>
              <w:t>构筑物爆破拆除前，做好扬尘控制计划。可采用清理积尘、淋湿地面、预湿墙体、屋面敷水袋、楼面蓄水、建筑外设高压喷雾状水系统、搭设防尘排栅和直升机投水弹等综合降尘。选择风力小的天气进行爆破作业。</w:t>
            </w:r>
          </w:p>
          <w:p w14:paraId="59ED4760">
            <w:pPr>
              <w:pStyle w:val="61"/>
              <w:spacing w:line="240" w:lineRule="auto"/>
              <w:jc w:val="left"/>
              <w:rPr>
                <w:rFonts w:hint="eastAsia" w:eastAsia="宋体" w:cs="Times New Roman"/>
                <w:color w:val="auto"/>
              </w:rPr>
            </w:pPr>
            <w:r>
              <w:rPr>
                <w:rFonts w:hint="eastAsia" w:eastAsia="宋体" w:cs="Times New Roman"/>
                <w:color w:val="auto"/>
              </w:rPr>
              <w:t>施工现场进行机械剔凿作业时，作业面局部应遮挡、掩盖或采取水淋等降尘措施。</w:t>
            </w:r>
          </w:p>
          <w:p w14:paraId="57EE1942">
            <w:pPr>
              <w:pStyle w:val="61"/>
              <w:spacing w:line="240" w:lineRule="auto"/>
              <w:jc w:val="left"/>
              <w:rPr>
                <w:rFonts w:hint="eastAsia" w:eastAsia="宋体" w:cs="Times New Roman"/>
                <w:color w:val="auto"/>
              </w:rPr>
            </w:pPr>
            <w:r>
              <w:rPr>
                <w:rFonts w:hint="eastAsia" w:eastAsia="宋体" w:cs="Times New Roman"/>
                <w:color w:val="auto"/>
              </w:rPr>
              <w:t>市政道路施工铣刨作业时，应采用冲洗等措施，控制扬尘污染。无机料拌合，应采用预拌进场，碾压过程中要洒水降尘。</w:t>
            </w:r>
          </w:p>
          <w:p w14:paraId="14D181EC">
            <w:pPr>
              <w:pStyle w:val="61"/>
              <w:spacing w:line="240" w:lineRule="auto"/>
              <w:jc w:val="left"/>
              <w:rPr>
                <w:rFonts w:hint="eastAsia" w:eastAsia="宋体" w:cs="Times New Roman"/>
                <w:color w:val="auto"/>
              </w:rPr>
            </w:pPr>
            <w:r>
              <w:rPr>
                <w:rFonts w:hint="eastAsia" w:eastAsia="宋体" w:cs="Times New Roman"/>
                <w:color w:val="auto"/>
              </w:rPr>
              <w:t>施工现场应建立封闭式垃圾站。建筑物内施工垃圾的清运，必须采用相应容器运输，严禁凌空抛掷。</w:t>
            </w:r>
          </w:p>
        </w:tc>
      </w:tr>
      <w:tr w14:paraId="61E7D5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73" w:type="pct"/>
            <w:noWrap w:val="0"/>
            <w:vAlign w:val="center"/>
          </w:tcPr>
          <w:p w14:paraId="479D5606">
            <w:pPr>
              <w:pStyle w:val="61"/>
              <w:spacing w:line="240" w:lineRule="auto"/>
              <w:jc w:val="center"/>
              <w:rPr>
                <w:rFonts w:hint="eastAsia" w:eastAsia="宋体" w:cs="Times New Roman"/>
                <w:color w:val="auto"/>
              </w:rPr>
            </w:pPr>
            <w:r>
              <w:rPr>
                <w:rFonts w:hint="eastAsia" w:eastAsia="宋体" w:cs="Times New Roman"/>
                <w:color w:val="auto"/>
              </w:rPr>
              <w:t>2</w:t>
            </w:r>
          </w:p>
        </w:tc>
        <w:tc>
          <w:tcPr>
            <w:tcW w:w="498" w:type="pct"/>
            <w:noWrap w:val="0"/>
            <w:vAlign w:val="center"/>
          </w:tcPr>
          <w:p w14:paraId="3B5ED2B6">
            <w:pPr>
              <w:pStyle w:val="61"/>
              <w:spacing w:line="240" w:lineRule="auto"/>
              <w:jc w:val="center"/>
              <w:rPr>
                <w:rFonts w:hint="eastAsia" w:eastAsia="宋体" w:cs="Times New Roman"/>
                <w:color w:val="auto"/>
              </w:rPr>
            </w:pPr>
            <w:r>
              <w:rPr>
                <w:rFonts w:hint="eastAsia" w:eastAsia="宋体" w:cs="Times New Roman"/>
                <w:color w:val="auto"/>
              </w:rPr>
              <w:t>有害气体排放控制</w:t>
            </w:r>
          </w:p>
        </w:tc>
        <w:tc>
          <w:tcPr>
            <w:tcW w:w="4128" w:type="pct"/>
            <w:noWrap w:val="0"/>
            <w:vAlign w:val="center"/>
          </w:tcPr>
          <w:p w14:paraId="0E475370">
            <w:pPr>
              <w:pStyle w:val="61"/>
              <w:spacing w:line="240" w:lineRule="auto"/>
              <w:jc w:val="left"/>
              <w:rPr>
                <w:rFonts w:hint="eastAsia" w:eastAsia="宋体" w:cs="Times New Roman"/>
                <w:color w:val="auto"/>
              </w:rPr>
            </w:pPr>
            <w:r>
              <w:rPr>
                <w:rFonts w:hint="eastAsia" w:eastAsia="宋体" w:cs="Times New Roman"/>
                <w:color w:val="auto"/>
              </w:rPr>
              <w:t>施工现场严禁焚烧各类废弃物。</w:t>
            </w:r>
          </w:p>
          <w:p w14:paraId="234A1EB4">
            <w:pPr>
              <w:pStyle w:val="61"/>
              <w:spacing w:line="240" w:lineRule="auto"/>
              <w:jc w:val="left"/>
              <w:rPr>
                <w:rFonts w:hint="eastAsia" w:eastAsia="宋体" w:cs="Times New Roman"/>
                <w:color w:val="auto"/>
              </w:rPr>
            </w:pPr>
            <w:r>
              <w:rPr>
                <w:rFonts w:hint="eastAsia" w:eastAsia="宋体" w:cs="Times New Roman"/>
                <w:color w:val="auto"/>
              </w:rPr>
              <w:t>施工车辆、机械设备的尾气排放应符合国家规定的排放标准。</w:t>
            </w:r>
          </w:p>
          <w:p w14:paraId="5EE594BA">
            <w:pPr>
              <w:pStyle w:val="61"/>
              <w:spacing w:line="240" w:lineRule="auto"/>
              <w:jc w:val="left"/>
              <w:rPr>
                <w:rFonts w:hint="eastAsia" w:eastAsia="宋体" w:cs="Times New Roman"/>
                <w:color w:val="auto"/>
              </w:rPr>
            </w:pPr>
            <w:r>
              <w:rPr>
                <w:rFonts w:hint="eastAsia" w:eastAsia="宋体" w:cs="Times New Roman"/>
                <w:color w:val="auto"/>
              </w:rPr>
              <w:t>建筑材料应有合格证明。对含有害物质的材料应进行复检，合格后方可使用。</w:t>
            </w:r>
          </w:p>
          <w:p w14:paraId="4A6453F3">
            <w:pPr>
              <w:pStyle w:val="61"/>
              <w:spacing w:line="240" w:lineRule="auto"/>
              <w:jc w:val="left"/>
              <w:rPr>
                <w:rFonts w:hint="eastAsia" w:eastAsia="宋体" w:cs="Times New Roman"/>
                <w:color w:val="auto"/>
              </w:rPr>
            </w:pPr>
            <w:r>
              <w:rPr>
                <w:rFonts w:hint="eastAsia" w:eastAsia="宋体" w:cs="Times New Roman"/>
                <w:color w:val="auto"/>
              </w:rPr>
              <w:t>施工中所使用的阻燃剂、混凝土外加剂氨的释放量应符合国家标准。</w:t>
            </w:r>
          </w:p>
        </w:tc>
      </w:tr>
      <w:tr w14:paraId="22CEB3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73" w:type="pct"/>
            <w:noWrap w:val="0"/>
            <w:vAlign w:val="center"/>
          </w:tcPr>
          <w:p w14:paraId="498807F8">
            <w:pPr>
              <w:pStyle w:val="61"/>
              <w:spacing w:line="240" w:lineRule="auto"/>
              <w:jc w:val="center"/>
              <w:rPr>
                <w:rFonts w:hint="eastAsia" w:eastAsia="宋体" w:cs="Times New Roman"/>
                <w:color w:val="auto"/>
              </w:rPr>
            </w:pPr>
            <w:r>
              <w:rPr>
                <w:rFonts w:hint="eastAsia" w:eastAsia="宋体" w:cs="Times New Roman"/>
                <w:color w:val="auto"/>
              </w:rPr>
              <w:t>3</w:t>
            </w:r>
          </w:p>
        </w:tc>
        <w:tc>
          <w:tcPr>
            <w:tcW w:w="498" w:type="pct"/>
            <w:noWrap w:val="0"/>
            <w:vAlign w:val="center"/>
          </w:tcPr>
          <w:p w14:paraId="5F6D4413">
            <w:pPr>
              <w:pStyle w:val="61"/>
              <w:spacing w:line="240" w:lineRule="auto"/>
              <w:jc w:val="center"/>
              <w:rPr>
                <w:rFonts w:hint="eastAsia" w:eastAsia="宋体" w:cs="Times New Roman"/>
                <w:color w:val="auto"/>
              </w:rPr>
            </w:pPr>
            <w:r>
              <w:rPr>
                <w:rFonts w:hint="eastAsia" w:eastAsia="宋体" w:cs="Times New Roman"/>
                <w:color w:val="auto"/>
              </w:rPr>
              <w:t>水土污染控制</w:t>
            </w:r>
          </w:p>
        </w:tc>
        <w:tc>
          <w:tcPr>
            <w:tcW w:w="4128" w:type="pct"/>
            <w:noWrap w:val="0"/>
            <w:vAlign w:val="center"/>
          </w:tcPr>
          <w:p w14:paraId="6FAABBC2">
            <w:pPr>
              <w:pStyle w:val="61"/>
              <w:spacing w:line="240" w:lineRule="auto"/>
              <w:jc w:val="left"/>
              <w:rPr>
                <w:rFonts w:hint="eastAsia" w:eastAsia="宋体" w:cs="Times New Roman"/>
                <w:color w:val="auto"/>
              </w:rPr>
            </w:pPr>
            <w:r>
              <w:rPr>
                <w:rFonts w:hint="eastAsia" w:eastAsia="宋体" w:cs="Times New Roman"/>
                <w:color w:val="auto"/>
              </w:rPr>
              <w:t>混凝土输送泵及运输车辆清洗处应当设置沉淀池。废水不得直接排入市政污水管网，可经二次沉淀后循环使用或用于洒水降尘。</w:t>
            </w:r>
          </w:p>
          <w:p w14:paraId="07BDA95C">
            <w:pPr>
              <w:pStyle w:val="61"/>
              <w:spacing w:line="240" w:lineRule="auto"/>
              <w:jc w:val="left"/>
              <w:rPr>
                <w:rFonts w:hint="eastAsia" w:eastAsia="宋体" w:cs="Times New Roman"/>
                <w:color w:val="auto"/>
              </w:rPr>
            </w:pPr>
            <w:r>
              <w:rPr>
                <w:rFonts w:hint="eastAsia" w:eastAsia="宋体" w:cs="Times New Roman"/>
                <w:color w:val="auto"/>
              </w:rPr>
              <w:t>施工现场存放的油料和化学溶剂等物品应设有专门的库房，地面应做防渗漏处理。废弃的油料和化学溶剂应集中处理，不得随意倾倒。</w:t>
            </w:r>
          </w:p>
          <w:p w14:paraId="6C3935CA">
            <w:pPr>
              <w:pStyle w:val="61"/>
              <w:spacing w:line="240" w:lineRule="auto"/>
              <w:jc w:val="left"/>
              <w:rPr>
                <w:rFonts w:hint="eastAsia" w:eastAsia="宋体" w:cs="Times New Roman"/>
                <w:color w:val="auto"/>
              </w:rPr>
            </w:pPr>
            <w:r>
              <w:rPr>
                <w:rFonts w:hint="eastAsia" w:eastAsia="宋体" w:cs="Times New Roman"/>
                <w:color w:val="auto"/>
              </w:rPr>
              <w:t>食堂应设隔油池，并应及时清理。</w:t>
            </w:r>
          </w:p>
          <w:p w14:paraId="329B997E">
            <w:pPr>
              <w:pStyle w:val="61"/>
              <w:spacing w:line="240" w:lineRule="auto"/>
              <w:jc w:val="left"/>
              <w:rPr>
                <w:rFonts w:hint="eastAsia" w:eastAsia="宋体" w:cs="Times New Roman"/>
                <w:color w:val="auto"/>
              </w:rPr>
            </w:pPr>
            <w:r>
              <w:rPr>
                <w:rFonts w:hint="eastAsia" w:eastAsia="宋体" w:cs="Times New Roman"/>
                <w:color w:val="auto"/>
              </w:rPr>
              <w:t>施工现场设置的临时厕所化粪池应做抗渗处理。</w:t>
            </w:r>
          </w:p>
          <w:p w14:paraId="258985AD">
            <w:pPr>
              <w:pStyle w:val="61"/>
              <w:spacing w:line="240" w:lineRule="auto"/>
              <w:jc w:val="left"/>
              <w:rPr>
                <w:rFonts w:hint="eastAsia" w:eastAsia="宋体" w:cs="Times New Roman"/>
                <w:color w:val="auto"/>
              </w:rPr>
            </w:pPr>
            <w:r>
              <w:rPr>
                <w:rFonts w:hint="eastAsia" w:eastAsia="宋体" w:cs="Times New Roman"/>
                <w:color w:val="auto"/>
              </w:rPr>
              <w:t>食堂、盥洗室、淋浴间的下水管线应设置过滤网，并应与市政污水管线连接，保证排水畅通。</w:t>
            </w:r>
          </w:p>
          <w:p w14:paraId="2AEF54C7">
            <w:pPr>
              <w:pStyle w:val="61"/>
              <w:spacing w:line="240" w:lineRule="auto"/>
              <w:jc w:val="left"/>
              <w:rPr>
                <w:rFonts w:hint="eastAsia" w:eastAsia="宋体" w:cs="Times New Roman"/>
                <w:color w:val="auto"/>
              </w:rPr>
            </w:pPr>
            <w:r>
              <w:rPr>
                <w:rFonts w:hint="eastAsia" w:eastAsia="宋体" w:cs="Times New Roman"/>
                <w:color w:val="auto"/>
              </w:rPr>
              <w:t>保护地下水环境。采用隔水性能好的边坡支护技术。在缺水地区或地下水位持续下降的地区，基坑降水尽可能少地抽取地下水；当基坑开挖抽水量大于50万m3时，应进行地下水回灌，并避免地下水被污染。</w:t>
            </w:r>
          </w:p>
        </w:tc>
      </w:tr>
      <w:tr w14:paraId="366D26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73" w:type="pct"/>
            <w:noWrap w:val="0"/>
            <w:vAlign w:val="center"/>
          </w:tcPr>
          <w:p w14:paraId="228E2D44">
            <w:pPr>
              <w:pStyle w:val="61"/>
              <w:spacing w:line="240" w:lineRule="auto"/>
              <w:jc w:val="center"/>
              <w:rPr>
                <w:rFonts w:hint="eastAsia" w:eastAsia="宋体" w:cs="Times New Roman"/>
                <w:color w:val="auto"/>
              </w:rPr>
            </w:pPr>
            <w:r>
              <w:rPr>
                <w:rFonts w:hint="eastAsia" w:eastAsia="宋体" w:cs="Times New Roman"/>
                <w:color w:val="auto"/>
              </w:rPr>
              <w:t>4</w:t>
            </w:r>
          </w:p>
        </w:tc>
        <w:tc>
          <w:tcPr>
            <w:tcW w:w="498" w:type="pct"/>
            <w:noWrap w:val="0"/>
            <w:vAlign w:val="center"/>
          </w:tcPr>
          <w:p w14:paraId="2FE89167">
            <w:pPr>
              <w:pStyle w:val="61"/>
              <w:spacing w:line="240" w:lineRule="auto"/>
              <w:jc w:val="center"/>
              <w:rPr>
                <w:rFonts w:hint="eastAsia" w:eastAsia="宋体" w:cs="Times New Roman"/>
                <w:color w:val="auto"/>
              </w:rPr>
            </w:pPr>
            <w:r>
              <w:rPr>
                <w:rFonts w:hint="eastAsia" w:eastAsia="宋体" w:cs="Times New Roman"/>
                <w:color w:val="auto"/>
              </w:rPr>
              <w:t>噪音与振动控制</w:t>
            </w:r>
          </w:p>
        </w:tc>
        <w:tc>
          <w:tcPr>
            <w:tcW w:w="4128" w:type="pct"/>
            <w:noWrap w:val="0"/>
            <w:vAlign w:val="center"/>
          </w:tcPr>
          <w:p w14:paraId="7E077EF2">
            <w:pPr>
              <w:pStyle w:val="61"/>
              <w:spacing w:line="240" w:lineRule="auto"/>
              <w:jc w:val="left"/>
              <w:rPr>
                <w:rFonts w:hint="eastAsia" w:eastAsia="宋体" w:cs="Times New Roman"/>
                <w:color w:val="auto"/>
              </w:rPr>
            </w:pPr>
            <w:r>
              <w:rPr>
                <w:rFonts w:hint="eastAsia" w:eastAsia="宋体" w:cs="Times New Roman"/>
                <w:color w:val="auto"/>
              </w:rPr>
              <w:t>施工现场应根据国家标准《建筑施工场界环境噪声排放标准》（GB12523-2011）的要求制定降噪措施，并对施工现场场界噪声进行监测和记录，噪声排放不得超过国家标准。</w:t>
            </w:r>
          </w:p>
          <w:p w14:paraId="3CA79EE9">
            <w:pPr>
              <w:pStyle w:val="61"/>
              <w:spacing w:line="240" w:lineRule="auto"/>
              <w:jc w:val="left"/>
              <w:rPr>
                <w:rFonts w:hint="eastAsia" w:eastAsia="宋体" w:cs="Times New Roman"/>
                <w:color w:val="auto"/>
              </w:rPr>
            </w:pPr>
            <w:r>
              <w:rPr>
                <w:rFonts w:hint="eastAsia" w:eastAsia="宋体" w:cs="Times New Roman"/>
                <w:color w:val="auto"/>
              </w:rPr>
              <w:t>在施工场界对噪音进行实时监测与控制。监测方法执行国家标准《建筑施工场界环境噪声排放标准》（GB12523-2011）</w:t>
            </w:r>
          </w:p>
          <w:p w14:paraId="33E739EF">
            <w:pPr>
              <w:pStyle w:val="61"/>
              <w:spacing w:line="240" w:lineRule="auto"/>
              <w:jc w:val="left"/>
              <w:rPr>
                <w:rFonts w:hint="eastAsia" w:eastAsia="宋体" w:cs="Times New Roman"/>
                <w:color w:val="auto"/>
              </w:rPr>
            </w:pPr>
            <w:r>
              <w:rPr>
                <w:rFonts w:hint="eastAsia" w:eastAsia="宋体" w:cs="Times New Roman"/>
                <w:color w:val="auto"/>
              </w:rPr>
              <w:t>施工场地的强噪声设备宜设置在远离居民区的一侧，可采取对强噪声设备进行封闭等降低噪声措施。</w:t>
            </w:r>
          </w:p>
          <w:p w14:paraId="1E5AA189">
            <w:pPr>
              <w:pStyle w:val="61"/>
              <w:spacing w:line="240" w:lineRule="auto"/>
              <w:jc w:val="left"/>
              <w:rPr>
                <w:rFonts w:hint="eastAsia" w:eastAsia="宋体" w:cs="Times New Roman"/>
                <w:color w:val="auto"/>
              </w:rPr>
            </w:pPr>
            <w:r>
              <w:rPr>
                <w:rFonts w:hint="eastAsia" w:eastAsia="宋体" w:cs="Times New Roman"/>
                <w:color w:val="auto"/>
              </w:rPr>
              <w:t>运输材料的车辆进入施工现场，严禁鸣笛。装卸材料应做到轻拿轻放。</w:t>
            </w:r>
          </w:p>
          <w:p w14:paraId="64ED6118">
            <w:pPr>
              <w:pStyle w:val="61"/>
              <w:spacing w:line="240" w:lineRule="auto"/>
              <w:jc w:val="left"/>
              <w:rPr>
                <w:rFonts w:hint="eastAsia" w:eastAsia="宋体" w:cs="Times New Roman"/>
                <w:color w:val="auto"/>
              </w:rPr>
            </w:pPr>
            <w:r>
              <w:rPr>
                <w:rFonts w:hint="eastAsia" w:eastAsia="宋体" w:cs="Times New Roman"/>
                <w:color w:val="auto"/>
              </w:rPr>
              <w:t>减少施工噪声影响，应从噪声传播途径、噪声源入手，减轻噪声对施工场地外的影响。切断施工噪声的传播途径，可以对施工现场采取遮挡、封闭等吸声、隔声措施，从噪声源减少噪声。鼓励采取先进的施工工艺，选用噪声标准较低的施工机械、设备，对机械、设备采取必要的消声、隔振和减振措施，同时做好机械设备日常维护工作。</w:t>
            </w:r>
          </w:p>
        </w:tc>
      </w:tr>
      <w:tr w14:paraId="640515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73" w:type="pct"/>
            <w:noWrap w:val="0"/>
            <w:vAlign w:val="center"/>
          </w:tcPr>
          <w:p w14:paraId="2E6A8C2D">
            <w:pPr>
              <w:pStyle w:val="61"/>
              <w:spacing w:line="240" w:lineRule="auto"/>
              <w:jc w:val="center"/>
              <w:rPr>
                <w:rFonts w:hint="eastAsia" w:eastAsia="宋体" w:cs="Times New Roman"/>
                <w:color w:val="auto"/>
              </w:rPr>
            </w:pPr>
            <w:r>
              <w:rPr>
                <w:rFonts w:hint="eastAsia" w:eastAsia="宋体" w:cs="Times New Roman"/>
                <w:color w:val="auto"/>
              </w:rPr>
              <w:t>5</w:t>
            </w:r>
          </w:p>
        </w:tc>
        <w:tc>
          <w:tcPr>
            <w:tcW w:w="498" w:type="pct"/>
            <w:noWrap w:val="0"/>
            <w:vAlign w:val="center"/>
          </w:tcPr>
          <w:p w14:paraId="6742FA83">
            <w:pPr>
              <w:pStyle w:val="61"/>
              <w:spacing w:line="240" w:lineRule="auto"/>
              <w:jc w:val="center"/>
              <w:rPr>
                <w:rFonts w:hint="eastAsia" w:eastAsia="宋体" w:cs="Times New Roman"/>
                <w:color w:val="auto"/>
              </w:rPr>
            </w:pPr>
            <w:r>
              <w:rPr>
                <w:rFonts w:hint="eastAsia" w:eastAsia="宋体" w:cs="Times New Roman"/>
                <w:color w:val="auto"/>
              </w:rPr>
              <w:t>光污染控制</w:t>
            </w:r>
          </w:p>
        </w:tc>
        <w:tc>
          <w:tcPr>
            <w:tcW w:w="4128" w:type="pct"/>
            <w:noWrap w:val="0"/>
            <w:vAlign w:val="center"/>
          </w:tcPr>
          <w:p w14:paraId="06ECA43D">
            <w:pPr>
              <w:pStyle w:val="61"/>
              <w:spacing w:line="240" w:lineRule="auto"/>
              <w:jc w:val="left"/>
              <w:rPr>
                <w:rFonts w:hint="eastAsia" w:eastAsia="宋体" w:cs="Times New Roman"/>
                <w:color w:val="auto"/>
              </w:rPr>
            </w:pPr>
            <w:r>
              <w:rPr>
                <w:rFonts w:hint="eastAsia" w:eastAsia="宋体" w:cs="Times New Roman"/>
                <w:color w:val="auto"/>
              </w:rPr>
              <w:t>合理安排作业时间，尽量避免夜间施工。必要时的夜间施工，应合理调整灯光照射方向，在保证现场施工作业面有足够光照的条件下，减少对周围居民生活的干扰。</w:t>
            </w:r>
          </w:p>
          <w:p w14:paraId="59786C4C">
            <w:pPr>
              <w:pStyle w:val="61"/>
              <w:spacing w:line="240" w:lineRule="auto"/>
              <w:jc w:val="left"/>
              <w:rPr>
                <w:rFonts w:hint="eastAsia" w:eastAsia="宋体" w:cs="Times New Roman"/>
                <w:color w:val="auto"/>
              </w:rPr>
            </w:pPr>
            <w:r>
              <w:rPr>
                <w:rFonts w:hint="eastAsia" w:eastAsia="宋体" w:cs="Times New Roman"/>
                <w:color w:val="auto"/>
              </w:rPr>
              <w:t>在高处进行电焊作业时应采取遮挡措施，避免电弧光外泄。</w:t>
            </w:r>
          </w:p>
        </w:tc>
      </w:tr>
      <w:tr w14:paraId="7D8BD9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73" w:type="pct"/>
            <w:noWrap w:val="0"/>
            <w:vAlign w:val="center"/>
          </w:tcPr>
          <w:p w14:paraId="65AC3860">
            <w:pPr>
              <w:pStyle w:val="61"/>
              <w:spacing w:line="240" w:lineRule="auto"/>
              <w:jc w:val="center"/>
              <w:rPr>
                <w:rFonts w:hint="eastAsia" w:eastAsia="宋体" w:cs="Times New Roman"/>
                <w:color w:val="auto"/>
              </w:rPr>
            </w:pPr>
            <w:r>
              <w:rPr>
                <w:rFonts w:hint="eastAsia" w:eastAsia="宋体" w:cs="Times New Roman"/>
                <w:color w:val="auto"/>
              </w:rPr>
              <w:t>6</w:t>
            </w:r>
          </w:p>
        </w:tc>
        <w:tc>
          <w:tcPr>
            <w:tcW w:w="498" w:type="pct"/>
            <w:noWrap w:val="0"/>
            <w:vAlign w:val="center"/>
          </w:tcPr>
          <w:p w14:paraId="66D17E11">
            <w:pPr>
              <w:pStyle w:val="61"/>
              <w:spacing w:line="240" w:lineRule="auto"/>
              <w:jc w:val="center"/>
              <w:rPr>
                <w:rFonts w:hint="eastAsia" w:eastAsia="宋体" w:cs="Times New Roman"/>
                <w:color w:val="auto"/>
              </w:rPr>
            </w:pPr>
            <w:r>
              <w:rPr>
                <w:rFonts w:hint="eastAsia" w:eastAsia="宋体" w:cs="Times New Roman"/>
                <w:color w:val="auto"/>
              </w:rPr>
              <w:t>建筑垃圾控制</w:t>
            </w:r>
          </w:p>
        </w:tc>
        <w:tc>
          <w:tcPr>
            <w:tcW w:w="4128" w:type="pct"/>
            <w:noWrap w:val="0"/>
            <w:vAlign w:val="center"/>
          </w:tcPr>
          <w:p w14:paraId="53203370">
            <w:pPr>
              <w:pStyle w:val="61"/>
              <w:spacing w:line="240" w:lineRule="auto"/>
              <w:jc w:val="left"/>
              <w:rPr>
                <w:rFonts w:hint="eastAsia" w:eastAsia="宋体" w:cs="Times New Roman"/>
                <w:color w:val="auto"/>
              </w:rPr>
            </w:pPr>
            <w:r>
              <w:rPr>
                <w:rFonts w:hint="eastAsia" w:eastAsia="宋体" w:cs="Times New Roman"/>
                <w:color w:val="auto"/>
              </w:rPr>
              <w:t>制定建筑垃圾减量化计划，每万平方米的建筑垃圾不宜超过400吨。</w:t>
            </w:r>
          </w:p>
          <w:p w14:paraId="2A779C92">
            <w:pPr>
              <w:pStyle w:val="61"/>
              <w:spacing w:line="240" w:lineRule="auto"/>
              <w:jc w:val="left"/>
              <w:rPr>
                <w:rFonts w:hint="eastAsia" w:eastAsia="宋体" w:cs="Times New Roman"/>
                <w:color w:val="auto"/>
              </w:rPr>
            </w:pPr>
            <w:r>
              <w:rPr>
                <w:rFonts w:hint="eastAsia" w:eastAsia="宋体" w:cs="Times New Roman"/>
                <w:color w:val="auto"/>
              </w:rPr>
              <w:t>加强建筑垃圾的回收再利用，力争建筑垃圾的再利用和回收率达到30%，建筑物拆除产生的废弃物的再利用和回收率大于40%。对于碎石类、土石方类建筑垃圾，可采用地基填埋、铺路等方式提高再利用率，力争再利用率大于50%。</w:t>
            </w:r>
          </w:p>
          <w:p w14:paraId="5FF0B5BF">
            <w:pPr>
              <w:pStyle w:val="61"/>
              <w:spacing w:line="240" w:lineRule="auto"/>
              <w:jc w:val="left"/>
              <w:rPr>
                <w:rFonts w:hint="eastAsia" w:eastAsia="宋体" w:cs="Times New Roman"/>
                <w:color w:val="auto"/>
              </w:rPr>
            </w:pPr>
            <w:r>
              <w:rPr>
                <w:rFonts w:hint="eastAsia" w:eastAsia="宋体" w:cs="Times New Roman"/>
                <w:color w:val="auto"/>
              </w:rPr>
              <w:t>施工现场生活区设置封闭式垃圾容器，施工场地生活垃圾实行袋装化，及时清运。对建筑垃圾进行分类，并收集到现场封闭式垃圾站，集中运出。</w:t>
            </w:r>
          </w:p>
        </w:tc>
      </w:tr>
      <w:tr w14:paraId="70F41C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73" w:type="pct"/>
            <w:noWrap w:val="0"/>
            <w:vAlign w:val="center"/>
          </w:tcPr>
          <w:p w14:paraId="370333BF">
            <w:pPr>
              <w:pStyle w:val="61"/>
              <w:spacing w:line="240" w:lineRule="auto"/>
              <w:jc w:val="center"/>
              <w:rPr>
                <w:rFonts w:hint="eastAsia" w:eastAsia="宋体" w:cs="Times New Roman"/>
                <w:color w:val="auto"/>
              </w:rPr>
            </w:pPr>
            <w:r>
              <w:rPr>
                <w:rFonts w:hint="eastAsia" w:eastAsia="宋体" w:cs="Times New Roman"/>
                <w:color w:val="auto"/>
              </w:rPr>
              <w:t>7</w:t>
            </w:r>
          </w:p>
        </w:tc>
        <w:tc>
          <w:tcPr>
            <w:tcW w:w="498" w:type="pct"/>
            <w:noWrap w:val="0"/>
            <w:vAlign w:val="center"/>
          </w:tcPr>
          <w:p w14:paraId="683FA942">
            <w:pPr>
              <w:pStyle w:val="61"/>
              <w:spacing w:line="240" w:lineRule="auto"/>
              <w:jc w:val="center"/>
              <w:rPr>
                <w:rFonts w:hint="eastAsia" w:eastAsia="宋体" w:cs="Times New Roman"/>
                <w:color w:val="auto"/>
              </w:rPr>
            </w:pPr>
            <w:r>
              <w:rPr>
                <w:rFonts w:hint="eastAsia" w:eastAsia="宋体" w:cs="Times New Roman"/>
                <w:color w:val="auto"/>
              </w:rPr>
              <w:t>地下设施、文物和资源保护</w:t>
            </w:r>
          </w:p>
        </w:tc>
        <w:tc>
          <w:tcPr>
            <w:tcW w:w="4128" w:type="pct"/>
            <w:noWrap w:val="0"/>
            <w:vAlign w:val="center"/>
          </w:tcPr>
          <w:p w14:paraId="09A61205">
            <w:pPr>
              <w:pStyle w:val="61"/>
              <w:spacing w:line="240" w:lineRule="auto"/>
              <w:jc w:val="left"/>
              <w:rPr>
                <w:rFonts w:hint="eastAsia" w:eastAsia="宋体" w:cs="Times New Roman"/>
                <w:color w:val="auto"/>
              </w:rPr>
            </w:pPr>
            <w:r>
              <w:rPr>
                <w:rFonts w:hint="eastAsia" w:eastAsia="宋体" w:cs="Times New Roman"/>
                <w:color w:val="auto"/>
              </w:rPr>
              <w:t>施工前应调查清楚地下各种设施，做好保护计划，保证施工场地周边的各类管道、管线、建筑物、构筑物的安全运行。</w:t>
            </w:r>
          </w:p>
          <w:p w14:paraId="309BA760">
            <w:pPr>
              <w:pStyle w:val="61"/>
              <w:spacing w:line="240" w:lineRule="auto"/>
              <w:jc w:val="left"/>
              <w:rPr>
                <w:rFonts w:hint="eastAsia" w:eastAsia="宋体" w:cs="Times New Roman"/>
                <w:color w:val="auto"/>
              </w:rPr>
            </w:pPr>
            <w:r>
              <w:rPr>
                <w:rFonts w:hint="eastAsia" w:eastAsia="宋体" w:cs="Times New Roman"/>
                <w:color w:val="auto"/>
              </w:rPr>
              <w:t>施工过程中一旦发现文物，立即停止施工，保护现场并通报文物部门并协助做好工作。</w:t>
            </w:r>
          </w:p>
          <w:p w14:paraId="129E6116">
            <w:pPr>
              <w:pStyle w:val="61"/>
              <w:spacing w:line="240" w:lineRule="auto"/>
              <w:jc w:val="left"/>
              <w:rPr>
                <w:rFonts w:hint="eastAsia" w:eastAsia="宋体" w:cs="Times New Roman"/>
                <w:color w:val="auto"/>
              </w:rPr>
            </w:pPr>
            <w:r>
              <w:rPr>
                <w:rFonts w:hint="eastAsia" w:eastAsia="宋体" w:cs="Times New Roman"/>
                <w:color w:val="auto"/>
              </w:rPr>
              <w:t>避让、保护施工场区及周边的古树名木。</w:t>
            </w:r>
          </w:p>
          <w:p w14:paraId="5B145BF3">
            <w:pPr>
              <w:pStyle w:val="61"/>
              <w:spacing w:line="240" w:lineRule="auto"/>
              <w:jc w:val="left"/>
              <w:rPr>
                <w:rFonts w:hint="eastAsia" w:eastAsia="宋体" w:cs="Times New Roman"/>
                <w:color w:val="auto"/>
              </w:rPr>
            </w:pPr>
            <w:r>
              <w:rPr>
                <w:rFonts w:hint="eastAsia" w:eastAsia="宋体" w:cs="Times New Roman"/>
                <w:color w:val="auto"/>
              </w:rPr>
              <w:t>逐步开展统计分析施工项目的CO2排放量，以及各种不同植被和树种的CO2固定量的工作。</w:t>
            </w:r>
          </w:p>
        </w:tc>
      </w:tr>
    </w:tbl>
    <w:p w14:paraId="13083387">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2、节材与材料资源利用</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17"/>
        <w:gridCol w:w="8469"/>
      </w:tblGrid>
      <w:tr w14:paraId="5B2931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0" w:type="pct"/>
            <w:noWrap w:val="0"/>
            <w:vAlign w:val="center"/>
          </w:tcPr>
          <w:p w14:paraId="66BD4640">
            <w:pPr>
              <w:pStyle w:val="61"/>
              <w:spacing w:line="240" w:lineRule="auto"/>
              <w:jc w:val="center"/>
              <w:rPr>
                <w:rFonts w:hint="eastAsia" w:eastAsia="宋体" w:cs="Times New Roman"/>
                <w:color w:val="auto"/>
              </w:rPr>
            </w:pPr>
            <w:r>
              <w:rPr>
                <w:rFonts w:hint="eastAsia" w:eastAsia="宋体" w:cs="Times New Roman"/>
                <w:color w:val="auto"/>
              </w:rPr>
              <w:t>序号</w:t>
            </w:r>
          </w:p>
        </w:tc>
        <w:tc>
          <w:tcPr>
            <w:tcW w:w="4559" w:type="pct"/>
            <w:noWrap w:val="0"/>
            <w:vAlign w:val="center"/>
          </w:tcPr>
          <w:p w14:paraId="1516A4C7">
            <w:pPr>
              <w:pStyle w:val="61"/>
              <w:spacing w:line="240" w:lineRule="auto"/>
              <w:jc w:val="center"/>
              <w:rPr>
                <w:rFonts w:hint="eastAsia" w:eastAsia="宋体" w:cs="Times New Roman"/>
                <w:color w:val="auto"/>
              </w:rPr>
            </w:pPr>
            <w:r>
              <w:rPr>
                <w:rFonts w:hint="eastAsia" w:eastAsia="宋体" w:cs="Times New Roman"/>
                <w:color w:val="auto"/>
              </w:rPr>
              <w:t>内容</w:t>
            </w:r>
          </w:p>
        </w:tc>
      </w:tr>
      <w:tr w14:paraId="1011AB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0" w:type="pct"/>
            <w:noWrap w:val="0"/>
            <w:vAlign w:val="center"/>
          </w:tcPr>
          <w:p w14:paraId="5B161016">
            <w:pPr>
              <w:pStyle w:val="61"/>
              <w:spacing w:line="240" w:lineRule="auto"/>
              <w:jc w:val="center"/>
              <w:rPr>
                <w:rFonts w:hint="eastAsia" w:eastAsia="宋体" w:cs="Times New Roman"/>
                <w:color w:val="auto"/>
              </w:rPr>
            </w:pPr>
            <w:r>
              <w:rPr>
                <w:rFonts w:hint="eastAsia" w:eastAsia="宋体" w:cs="Times New Roman"/>
                <w:color w:val="auto"/>
              </w:rPr>
              <w:t>1</w:t>
            </w:r>
          </w:p>
        </w:tc>
        <w:tc>
          <w:tcPr>
            <w:tcW w:w="4559" w:type="pct"/>
            <w:noWrap w:val="0"/>
            <w:vAlign w:val="center"/>
          </w:tcPr>
          <w:p w14:paraId="356BBF0D">
            <w:pPr>
              <w:pStyle w:val="61"/>
              <w:spacing w:line="240" w:lineRule="auto"/>
              <w:jc w:val="left"/>
              <w:rPr>
                <w:rFonts w:hint="eastAsia" w:eastAsia="宋体" w:cs="Times New Roman"/>
                <w:color w:val="auto"/>
              </w:rPr>
            </w:pPr>
            <w:r>
              <w:rPr>
                <w:rFonts w:hint="eastAsia" w:eastAsia="宋体" w:cs="Times New Roman"/>
                <w:color w:val="auto"/>
              </w:rPr>
              <w:t>优化施工方案，选用绿色材料，积极推广新材料、新工艺，促进材料的合理使用，节省实际施工材料消耗量。</w:t>
            </w:r>
          </w:p>
        </w:tc>
      </w:tr>
      <w:tr w14:paraId="48FF53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0" w:type="pct"/>
            <w:noWrap w:val="0"/>
            <w:vAlign w:val="center"/>
          </w:tcPr>
          <w:p w14:paraId="4FC43A88">
            <w:pPr>
              <w:pStyle w:val="61"/>
              <w:spacing w:line="240" w:lineRule="auto"/>
              <w:jc w:val="center"/>
              <w:rPr>
                <w:rFonts w:hint="eastAsia" w:eastAsia="宋体" w:cs="Times New Roman"/>
                <w:color w:val="auto"/>
              </w:rPr>
            </w:pPr>
            <w:r>
              <w:rPr>
                <w:rFonts w:hint="eastAsia" w:eastAsia="宋体" w:cs="Times New Roman"/>
                <w:color w:val="auto"/>
              </w:rPr>
              <w:t>2</w:t>
            </w:r>
          </w:p>
        </w:tc>
        <w:tc>
          <w:tcPr>
            <w:tcW w:w="4559" w:type="pct"/>
            <w:noWrap w:val="0"/>
            <w:vAlign w:val="center"/>
          </w:tcPr>
          <w:p w14:paraId="36321314">
            <w:pPr>
              <w:pStyle w:val="61"/>
              <w:spacing w:line="240" w:lineRule="auto"/>
              <w:jc w:val="left"/>
              <w:rPr>
                <w:rFonts w:hint="eastAsia" w:eastAsia="宋体" w:cs="Times New Roman"/>
                <w:color w:val="auto"/>
              </w:rPr>
            </w:pPr>
            <w:r>
              <w:rPr>
                <w:rFonts w:hint="eastAsia" w:eastAsia="宋体" w:cs="Times New Roman"/>
                <w:color w:val="auto"/>
              </w:rPr>
              <w:t>根据施工进度、材料周转时间、库存情况等制定采购计划，并合理确定采购数量，避免采购过多，造成积压或浪费。</w:t>
            </w:r>
          </w:p>
        </w:tc>
      </w:tr>
      <w:tr w14:paraId="41D983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0" w:type="pct"/>
            <w:noWrap w:val="0"/>
            <w:vAlign w:val="center"/>
          </w:tcPr>
          <w:p w14:paraId="6E88C4D4">
            <w:pPr>
              <w:pStyle w:val="61"/>
              <w:spacing w:line="240" w:lineRule="auto"/>
              <w:jc w:val="center"/>
              <w:rPr>
                <w:rFonts w:hint="eastAsia" w:eastAsia="宋体" w:cs="Times New Roman"/>
                <w:color w:val="auto"/>
              </w:rPr>
            </w:pPr>
            <w:r>
              <w:rPr>
                <w:rFonts w:hint="eastAsia" w:eastAsia="宋体" w:cs="Times New Roman"/>
                <w:color w:val="auto"/>
              </w:rPr>
              <w:t>3</w:t>
            </w:r>
          </w:p>
        </w:tc>
        <w:tc>
          <w:tcPr>
            <w:tcW w:w="4559" w:type="pct"/>
            <w:noWrap w:val="0"/>
            <w:vAlign w:val="center"/>
          </w:tcPr>
          <w:p w14:paraId="558EB7EB">
            <w:pPr>
              <w:pStyle w:val="61"/>
              <w:spacing w:line="240" w:lineRule="auto"/>
              <w:jc w:val="left"/>
              <w:rPr>
                <w:rFonts w:hint="eastAsia" w:eastAsia="宋体" w:cs="Times New Roman"/>
                <w:color w:val="auto"/>
              </w:rPr>
            </w:pPr>
            <w:r>
              <w:rPr>
                <w:rFonts w:hint="eastAsia" w:eastAsia="宋体" w:cs="Times New Roman"/>
                <w:color w:val="auto"/>
              </w:rPr>
              <w:t>对周转材料进行保养维护，维护其质量状态，延长其使用寿命。按照材料存放要求进行材料装卸和临时保管，避免因现场存放条件不合理而导致浪费。</w:t>
            </w:r>
          </w:p>
        </w:tc>
      </w:tr>
      <w:tr w14:paraId="11B247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0" w:type="pct"/>
            <w:noWrap w:val="0"/>
            <w:vAlign w:val="center"/>
          </w:tcPr>
          <w:p w14:paraId="0CF9673D">
            <w:pPr>
              <w:pStyle w:val="61"/>
              <w:spacing w:line="240" w:lineRule="auto"/>
              <w:jc w:val="center"/>
              <w:rPr>
                <w:rFonts w:hint="eastAsia" w:eastAsia="宋体" w:cs="Times New Roman"/>
                <w:color w:val="auto"/>
              </w:rPr>
            </w:pPr>
            <w:r>
              <w:rPr>
                <w:rFonts w:hint="eastAsia" w:eastAsia="宋体" w:cs="Times New Roman"/>
                <w:color w:val="auto"/>
              </w:rPr>
              <w:t>4</w:t>
            </w:r>
          </w:p>
        </w:tc>
        <w:tc>
          <w:tcPr>
            <w:tcW w:w="4559" w:type="pct"/>
            <w:noWrap w:val="0"/>
            <w:vAlign w:val="center"/>
          </w:tcPr>
          <w:p w14:paraId="315C6D8D">
            <w:pPr>
              <w:pStyle w:val="61"/>
              <w:spacing w:line="240" w:lineRule="auto"/>
              <w:jc w:val="left"/>
              <w:rPr>
                <w:rFonts w:hint="eastAsia" w:eastAsia="宋体" w:cs="Times New Roman"/>
                <w:color w:val="auto"/>
              </w:rPr>
            </w:pPr>
            <w:r>
              <w:rPr>
                <w:rFonts w:hint="eastAsia" w:eastAsia="宋体" w:cs="Times New Roman"/>
                <w:color w:val="auto"/>
              </w:rPr>
              <w:t>依照施工预算，实行限额领料，严格控制材料的消耗。</w:t>
            </w:r>
          </w:p>
        </w:tc>
      </w:tr>
      <w:tr w14:paraId="49A6D0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0" w:type="pct"/>
            <w:noWrap w:val="0"/>
            <w:vAlign w:val="center"/>
          </w:tcPr>
          <w:p w14:paraId="5EFFF3A6">
            <w:pPr>
              <w:pStyle w:val="61"/>
              <w:spacing w:line="240" w:lineRule="auto"/>
              <w:jc w:val="center"/>
              <w:rPr>
                <w:rFonts w:hint="eastAsia" w:eastAsia="宋体" w:cs="Times New Roman"/>
                <w:color w:val="auto"/>
              </w:rPr>
            </w:pPr>
            <w:r>
              <w:rPr>
                <w:rFonts w:hint="eastAsia" w:eastAsia="宋体" w:cs="Times New Roman"/>
                <w:color w:val="auto"/>
              </w:rPr>
              <w:t>5</w:t>
            </w:r>
          </w:p>
        </w:tc>
        <w:tc>
          <w:tcPr>
            <w:tcW w:w="4559" w:type="pct"/>
            <w:noWrap w:val="0"/>
            <w:vAlign w:val="center"/>
          </w:tcPr>
          <w:p w14:paraId="611B9622">
            <w:pPr>
              <w:pStyle w:val="61"/>
              <w:spacing w:line="240" w:lineRule="auto"/>
              <w:jc w:val="left"/>
              <w:rPr>
                <w:rFonts w:hint="eastAsia" w:eastAsia="宋体" w:cs="Times New Roman"/>
                <w:color w:val="auto"/>
              </w:rPr>
            </w:pPr>
            <w:r>
              <w:rPr>
                <w:rFonts w:hint="eastAsia" w:eastAsia="宋体" w:cs="Times New Roman"/>
                <w:color w:val="auto"/>
              </w:rPr>
              <w:t>施工现场应建立可回收再利用物资清单，制定并实施可回收废料的回收管理办法，提高废料利用率。</w:t>
            </w:r>
          </w:p>
        </w:tc>
      </w:tr>
      <w:tr w14:paraId="2F3F59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0" w:type="pct"/>
            <w:noWrap w:val="0"/>
            <w:vAlign w:val="center"/>
          </w:tcPr>
          <w:p w14:paraId="3E695BF9">
            <w:pPr>
              <w:pStyle w:val="61"/>
              <w:spacing w:line="240" w:lineRule="auto"/>
              <w:jc w:val="center"/>
              <w:rPr>
                <w:rFonts w:hint="eastAsia" w:eastAsia="宋体" w:cs="Times New Roman"/>
                <w:color w:val="auto"/>
              </w:rPr>
            </w:pPr>
            <w:r>
              <w:rPr>
                <w:rFonts w:hint="eastAsia" w:eastAsia="宋体" w:cs="Times New Roman"/>
                <w:color w:val="auto"/>
              </w:rPr>
              <w:t>6</w:t>
            </w:r>
          </w:p>
        </w:tc>
        <w:tc>
          <w:tcPr>
            <w:tcW w:w="4559" w:type="pct"/>
            <w:noWrap w:val="0"/>
            <w:vAlign w:val="center"/>
          </w:tcPr>
          <w:p w14:paraId="30D259BF">
            <w:pPr>
              <w:pStyle w:val="61"/>
              <w:spacing w:line="240" w:lineRule="auto"/>
              <w:jc w:val="left"/>
              <w:rPr>
                <w:rFonts w:hint="eastAsia" w:eastAsia="宋体" w:cs="Times New Roman"/>
                <w:color w:val="auto"/>
              </w:rPr>
            </w:pPr>
            <w:r>
              <w:rPr>
                <w:rFonts w:hint="eastAsia" w:eastAsia="宋体" w:cs="Times New Roman"/>
                <w:color w:val="auto"/>
              </w:rPr>
              <w:t>根据场地建设现状调查，对现有的建筑、设施再利用的可能性和经济性进行分析，合理安排工期。利用拟建道路和建筑物，提高资源再利用率。</w:t>
            </w:r>
          </w:p>
        </w:tc>
      </w:tr>
      <w:tr w14:paraId="40ED1F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0" w:type="pct"/>
            <w:noWrap w:val="0"/>
            <w:vAlign w:val="center"/>
          </w:tcPr>
          <w:p w14:paraId="5639D398">
            <w:pPr>
              <w:pStyle w:val="61"/>
              <w:spacing w:line="240" w:lineRule="auto"/>
              <w:jc w:val="center"/>
              <w:rPr>
                <w:rFonts w:hint="eastAsia" w:eastAsia="宋体" w:cs="Times New Roman"/>
                <w:color w:val="auto"/>
              </w:rPr>
            </w:pPr>
            <w:r>
              <w:rPr>
                <w:rFonts w:hint="eastAsia" w:eastAsia="宋体" w:cs="Times New Roman"/>
                <w:color w:val="auto"/>
              </w:rPr>
              <w:t>7</w:t>
            </w:r>
          </w:p>
        </w:tc>
        <w:tc>
          <w:tcPr>
            <w:tcW w:w="4559" w:type="pct"/>
            <w:noWrap w:val="0"/>
            <w:vAlign w:val="center"/>
          </w:tcPr>
          <w:p w14:paraId="186A829C">
            <w:pPr>
              <w:pStyle w:val="61"/>
              <w:spacing w:line="240" w:lineRule="auto"/>
              <w:jc w:val="left"/>
              <w:rPr>
                <w:rFonts w:hint="eastAsia" w:eastAsia="宋体" w:cs="Times New Roman"/>
                <w:color w:val="auto"/>
              </w:rPr>
            </w:pPr>
            <w:r>
              <w:rPr>
                <w:rFonts w:hint="eastAsia" w:eastAsia="宋体" w:cs="Times New Roman"/>
                <w:color w:val="auto"/>
              </w:rPr>
              <w:t>临时设施（办公及生活用房、给排水、照明、消防管道及消防设备）应采用可拆卸可循环使用材料，并在相关专项方案中列出回收再利用措施。</w:t>
            </w:r>
          </w:p>
        </w:tc>
      </w:tr>
      <w:tr w14:paraId="2B595D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0" w:type="pct"/>
            <w:noWrap w:val="0"/>
            <w:vAlign w:val="center"/>
          </w:tcPr>
          <w:p w14:paraId="4B2ECC5A">
            <w:pPr>
              <w:pStyle w:val="61"/>
              <w:spacing w:line="240" w:lineRule="auto"/>
              <w:jc w:val="center"/>
              <w:rPr>
                <w:rFonts w:hint="eastAsia" w:eastAsia="宋体" w:cs="Times New Roman"/>
                <w:color w:val="auto"/>
              </w:rPr>
            </w:pPr>
            <w:r>
              <w:rPr>
                <w:rFonts w:hint="eastAsia" w:eastAsia="宋体" w:cs="Times New Roman"/>
                <w:color w:val="auto"/>
              </w:rPr>
              <w:t>8</w:t>
            </w:r>
          </w:p>
        </w:tc>
        <w:tc>
          <w:tcPr>
            <w:tcW w:w="4559" w:type="pct"/>
            <w:noWrap w:val="0"/>
            <w:vAlign w:val="center"/>
          </w:tcPr>
          <w:p w14:paraId="744E5214">
            <w:pPr>
              <w:pStyle w:val="61"/>
              <w:spacing w:line="240" w:lineRule="auto"/>
              <w:jc w:val="left"/>
              <w:rPr>
                <w:rFonts w:hint="eastAsia" w:eastAsia="宋体" w:cs="Times New Roman"/>
                <w:color w:val="auto"/>
              </w:rPr>
            </w:pPr>
            <w:r>
              <w:rPr>
                <w:rFonts w:hint="eastAsia" w:eastAsia="宋体" w:cs="Times New Roman"/>
                <w:color w:val="auto"/>
              </w:rPr>
              <w:t>应就地取材，施工现场500公里以内生产的建筑材料用量占建筑材料总重量的70％以上。</w:t>
            </w:r>
          </w:p>
        </w:tc>
      </w:tr>
    </w:tbl>
    <w:p w14:paraId="3D5602AE">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3、节水与水资源利用</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27"/>
        <w:gridCol w:w="1176"/>
        <w:gridCol w:w="7283"/>
      </w:tblGrid>
      <w:tr w14:paraId="6D87C7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5" w:type="pct"/>
            <w:noWrap w:val="0"/>
            <w:vAlign w:val="center"/>
          </w:tcPr>
          <w:p w14:paraId="060E76CE">
            <w:pPr>
              <w:pStyle w:val="61"/>
              <w:spacing w:line="240" w:lineRule="auto"/>
              <w:jc w:val="center"/>
              <w:rPr>
                <w:rFonts w:hint="eastAsia" w:eastAsia="宋体" w:cs="Times New Roman"/>
                <w:color w:val="auto"/>
              </w:rPr>
            </w:pPr>
            <w:r>
              <w:rPr>
                <w:rFonts w:hint="eastAsia" w:eastAsia="宋体" w:cs="Times New Roman"/>
                <w:color w:val="auto"/>
              </w:rPr>
              <w:t>序号</w:t>
            </w:r>
          </w:p>
        </w:tc>
        <w:tc>
          <w:tcPr>
            <w:tcW w:w="633" w:type="pct"/>
            <w:noWrap w:val="0"/>
            <w:vAlign w:val="center"/>
          </w:tcPr>
          <w:p w14:paraId="63CD99DF">
            <w:pPr>
              <w:pStyle w:val="61"/>
              <w:spacing w:line="240" w:lineRule="auto"/>
              <w:jc w:val="center"/>
              <w:rPr>
                <w:rFonts w:hint="eastAsia" w:eastAsia="宋体" w:cs="Times New Roman"/>
                <w:color w:val="auto"/>
              </w:rPr>
            </w:pPr>
            <w:r>
              <w:rPr>
                <w:rFonts w:hint="eastAsia" w:eastAsia="宋体" w:cs="Times New Roman"/>
                <w:color w:val="auto"/>
              </w:rPr>
              <w:t>名称</w:t>
            </w:r>
          </w:p>
        </w:tc>
        <w:tc>
          <w:tcPr>
            <w:tcW w:w="3920" w:type="pct"/>
            <w:noWrap w:val="0"/>
            <w:vAlign w:val="center"/>
          </w:tcPr>
          <w:p w14:paraId="4251437A">
            <w:pPr>
              <w:pStyle w:val="61"/>
              <w:spacing w:line="240" w:lineRule="auto"/>
              <w:jc w:val="center"/>
              <w:rPr>
                <w:rFonts w:hint="eastAsia" w:eastAsia="宋体" w:cs="Times New Roman"/>
                <w:color w:val="auto"/>
              </w:rPr>
            </w:pPr>
            <w:r>
              <w:rPr>
                <w:rFonts w:hint="eastAsia" w:eastAsia="宋体" w:cs="Times New Roman"/>
                <w:color w:val="auto"/>
              </w:rPr>
              <w:t>内容</w:t>
            </w:r>
          </w:p>
        </w:tc>
      </w:tr>
      <w:tr w14:paraId="6389DB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5" w:type="pct"/>
            <w:noWrap w:val="0"/>
            <w:vAlign w:val="center"/>
          </w:tcPr>
          <w:p w14:paraId="1C2B39F4">
            <w:pPr>
              <w:pStyle w:val="61"/>
              <w:spacing w:line="240" w:lineRule="auto"/>
              <w:jc w:val="center"/>
              <w:rPr>
                <w:rFonts w:hint="eastAsia" w:eastAsia="宋体" w:cs="Times New Roman"/>
                <w:color w:val="auto"/>
              </w:rPr>
            </w:pPr>
            <w:r>
              <w:rPr>
                <w:rFonts w:hint="eastAsia" w:eastAsia="宋体" w:cs="Times New Roman"/>
                <w:color w:val="auto"/>
              </w:rPr>
              <w:t>1</w:t>
            </w:r>
          </w:p>
        </w:tc>
        <w:tc>
          <w:tcPr>
            <w:tcW w:w="633" w:type="pct"/>
            <w:noWrap w:val="0"/>
            <w:vAlign w:val="center"/>
          </w:tcPr>
          <w:p w14:paraId="0B677F57">
            <w:pPr>
              <w:pStyle w:val="61"/>
              <w:spacing w:line="240" w:lineRule="auto"/>
              <w:jc w:val="center"/>
              <w:rPr>
                <w:rFonts w:hint="eastAsia" w:eastAsia="宋体" w:cs="Times New Roman"/>
                <w:color w:val="auto"/>
              </w:rPr>
            </w:pPr>
            <w:r>
              <w:rPr>
                <w:rFonts w:hint="eastAsia" w:eastAsia="宋体" w:cs="Times New Roman"/>
                <w:color w:val="auto"/>
              </w:rPr>
              <w:t>提高用水效率</w:t>
            </w:r>
          </w:p>
        </w:tc>
        <w:tc>
          <w:tcPr>
            <w:tcW w:w="3920" w:type="pct"/>
            <w:noWrap w:val="0"/>
            <w:vAlign w:val="center"/>
          </w:tcPr>
          <w:p w14:paraId="3829E0EE">
            <w:pPr>
              <w:pStyle w:val="61"/>
              <w:spacing w:line="240" w:lineRule="auto"/>
              <w:jc w:val="left"/>
              <w:rPr>
                <w:rFonts w:hint="eastAsia" w:eastAsia="宋体" w:cs="Times New Roman"/>
                <w:color w:val="auto"/>
              </w:rPr>
            </w:pPr>
            <w:r>
              <w:rPr>
                <w:rFonts w:hint="eastAsia" w:eastAsia="宋体" w:cs="Times New Roman"/>
                <w:color w:val="auto"/>
              </w:rPr>
              <w:t>项目部应分别对生活用水与工程用水实行用水计量管理，并建立激励机制。</w:t>
            </w:r>
          </w:p>
          <w:p w14:paraId="06514B47">
            <w:pPr>
              <w:pStyle w:val="61"/>
              <w:spacing w:line="240" w:lineRule="auto"/>
              <w:jc w:val="left"/>
              <w:rPr>
                <w:rFonts w:hint="eastAsia" w:eastAsia="宋体" w:cs="Times New Roman"/>
                <w:color w:val="auto"/>
              </w:rPr>
            </w:pPr>
            <w:r>
              <w:rPr>
                <w:rFonts w:hint="eastAsia" w:eastAsia="宋体" w:cs="Times New Roman"/>
                <w:color w:val="auto"/>
              </w:rPr>
              <w:t>施工中应采用先进的节水施工工艺。</w:t>
            </w:r>
          </w:p>
          <w:p w14:paraId="1879D94F">
            <w:pPr>
              <w:pStyle w:val="61"/>
              <w:spacing w:line="240" w:lineRule="auto"/>
              <w:jc w:val="left"/>
              <w:rPr>
                <w:rFonts w:hint="eastAsia" w:eastAsia="宋体" w:cs="Times New Roman"/>
                <w:color w:val="auto"/>
              </w:rPr>
            </w:pPr>
            <w:r>
              <w:rPr>
                <w:rFonts w:hint="eastAsia" w:eastAsia="宋体" w:cs="Times New Roman"/>
                <w:color w:val="auto"/>
              </w:rPr>
              <w:t>施工现场喷洒路面、绿化浇灌不宜使用市政自来水。现场用水、养护用水应采取有效节水措施。</w:t>
            </w:r>
          </w:p>
          <w:p w14:paraId="306973BC">
            <w:pPr>
              <w:pStyle w:val="61"/>
              <w:spacing w:line="240" w:lineRule="auto"/>
              <w:jc w:val="left"/>
              <w:rPr>
                <w:rFonts w:hint="eastAsia" w:eastAsia="宋体" w:cs="Times New Roman"/>
                <w:color w:val="auto"/>
              </w:rPr>
            </w:pPr>
            <w:r>
              <w:rPr>
                <w:rFonts w:hint="eastAsia" w:eastAsia="宋体" w:cs="Times New Roman"/>
                <w:color w:val="auto"/>
              </w:rPr>
              <w:t>现场机具、设备、车辆冲洗用水必须设立循环用水装置。施工现场办公区、生活区的生活用水应采用节水系统和节水器具，提高节水器具配置比率。在水源处应设置明显的节约用水标识。</w:t>
            </w:r>
          </w:p>
          <w:p w14:paraId="2430F013">
            <w:pPr>
              <w:pStyle w:val="61"/>
              <w:spacing w:line="240" w:lineRule="auto"/>
              <w:jc w:val="left"/>
              <w:rPr>
                <w:rFonts w:hint="eastAsia" w:eastAsia="宋体" w:cs="Times New Roman"/>
                <w:color w:val="auto"/>
              </w:rPr>
            </w:pPr>
            <w:r>
              <w:rPr>
                <w:rFonts w:hint="eastAsia" w:eastAsia="宋体" w:cs="Times New Roman"/>
                <w:color w:val="auto"/>
              </w:rPr>
              <w:t>施工现场应建立可再利用水的收集处理系统，使水资源得到梯级循环利用。</w:t>
            </w:r>
          </w:p>
        </w:tc>
      </w:tr>
      <w:tr w14:paraId="2F5FC2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5" w:type="pct"/>
            <w:noWrap w:val="0"/>
            <w:vAlign w:val="center"/>
          </w:tcPr>
          <w:p w14:paraId="4DF37821">
            <w:pPr>
              <w:pStyle w:val="61"/>
              <w:spacing w:line="240" w:lineRule="auto"/>
              <w:jc w:val="center"/>
              <w:rPr>
                <w:rFonts w:hint="eastAsia" w:eastAsia="宋体" w:cs="Times New Roman"/>
                <w:color w:val="auto"/>
              </w:rPr>
            </w:pPr>
            <w:r>
              <w:rPr>
                <w:rFonts w:hint="eastAsia" w:eastAsia="宋体" w:cs="Times New Roman"/>
                <w:color w:val="auto"/>
              </w:rPr>
              <w:t>2</w:t>
            </w:r>
          </w:p>
        </w:tc>
        <w:tc>
          <w:tcPr>
            <w:tcW w:w="633" w:type="pct"/>
            <w:noWrap w:val="0"/>
            <w:vAlign w:val="center"/>
          </w:tcPr>
          <w:p w14:paraId="4365E038">
            <w:pPr>
              <w:pStyle w:val="61"/>
              <w:spacing w:line="240" w:lineRule="auto"/>
              <w:jc w:val="center"/>
              <w:rPr>
                <w:rFonts w:hint="eastAsia" w:eastAsia="宋体" w:cs="Times New Roman"/>
                <w:color w:val="auto"/>
              </w:rPr>
            </w:pPr>
            <w:r>
              <w:rPr>
                <w:rFonts w:hint="eastAsia" w:eastAsia="宋体" w:cs="Times New Roman"/>
                <w:color w:val="auto"/>
              </w:rPr>
              <w:t>非传统水源利用</w:t>
            </w:r>
          </w:p>
        </w:tc>
        <w:tc>
          <w:tcPr>
            <w:tcW w:w="3920" w:type="pct"/>
            <w:noWrap w:val="0"/>
            <w:vAlign w:val="center"/>
          </w:tcPr>
          <w:p w14:paraId="1CDD2032">
            <w:pPr>
              <w:pStyle w:val="61"/>
              <w:spacing w:line="240" w:lineRule="auto"/>
              <w:jc w:val="left"/>
              <w:rPr>
                <w:rFonts w:hint="eastAsia" w:eastAsia="宋体" w:cs="Times New Roman"/>
                <w:color w:val="auto"/>
              </w:rPr>
            </w:pPr>
            <w:r>
              <w:rPr>
                <w:rFonts w:hint="eastAsia" w:eastAsia="宋体" w:cs="Times New Roman"/>
                <w:color w:val="auto"/>
              </w:rPr>
              <w:t>施工现场应充分利用雨水资源，保持水体循环，有条件的宜收集屋顶、地面雨水再利用。</w:t>
            </w:r>
          </w:p>
          <w:p w14:paraId="00EC8658">
            <w:pPr>
              <w:pStyle w:val="61"/>
              <w:spacing w:line="240" w:lineRule="auto"/>
              <w:jc w:val="left"/>
              <w:rPr>
                <w:rFonts w:hint="eastAsia" w:eastAsia="宋体" w:cs="Times New Roman"/>
                <w:color w:val="auto"/>
              </w:rPr>
            </w:pPr>
            <w:r>
              <w:rPr>
                <w:rFonts w:hint="eastAsia" w:eastAsia="宋体" w:cs="Times New Roman"/>
                <w:color w:val="auto"/>
              </w:rPr>
              <w:t>施工现场应设置废水回收设施，对废水进行回收后循环利用。</w:t>
            </w:r>
          </w:p>
          <w:p w14:paraId="39635824">
            <w:pPr>
              <w:pStyle w:val="61"/>
              <w:spacing w:line="240" w:lineRule="auto"/>
              <w:jc w:val="left"/>
              <w:rPr>
                <w:rFonts w:hint="eastAsia" w:eastAsia="宋体" w:cs="Times New Roman"/>
                <w:color w:val="auto"/>
              </w:rPr>
            </w:pPr>
            <w:r>
              <w:rPr>
                <w:rFonts w:hint="eastAsia" w:eastAsia="宋体" w:cs="Times New Roman"/>
                <w:color w:val="auto"/>
              </w:rPr>
              <w:t>处于基坑降水阶段的工地，宜优先采用地下水作为混凝土用水、养护用水、冲洗用水和部分生活用水。</w:t>
            </w:r>
          </w:p>
          <w:p w14:paraId="029F3C02">
            <w:pPr>
              <w:pStyle w:val="61"/>
              <w:spacing w:line="240" w:lineRule="auto"/>
              <w:jc w:val="left"/>
              <w:rPr>
                <w:rFonts w:hint="eastAsia" w:eastAsia="宋体" w:cs="Times New Roman"/>
                <w:color w:val="auto"/>
              </w:rPr>
            </w:pPr>
            <w:r>
              <w:rPr>
                <w:rFonts w:hint="eastAsia" w:eastAsia="宋体" w:cs="Times New Roman"/>
                <w:color w:val="auto"/>
              </w:rPr>
              <w:t>现场机具、设备、车辆冲洗、喷洒路面、绿化浇灌等用水，优先采用非传统水源，尽量不使用市政自来水。</w:t>
            </w:r>
          </w:p>
          <w:p w14:paraId="5020AB34">
            <w:pPr>
              <w:pStyle w:val="61"/>
              <w:spacing w:line="240" w:lineRule="auto"/>
              <w:jc w:val="left"/>
              <w:rPr>
                <w:rFonts w:hint="eastAsia" w:eastAsia="宋体" w:cs="Times New Roman"/>
                <w:color w:val="auto"/>
              </w:rPr>
            </w:pPr>
            <w:r>
              <w:rPr>
                <w:rFonts w:hint="eastAsia" w:eastAsia="宋体" w:cs="Times New Roman"/>
                <w:color w:val="auto"/>
              </w:rPr>
              <w:t>大型施工现场，尤其是雨量充沛地区的大型施工现场建立雨水收集利用系统，充分收集自然降水用于施工和生活中适宜的部位。</w:t>
            </w:r>
          </w:p>
          <w:p w14:paraId="50901D97">
            <w:pPr>
              <w:pStyle w:val="61"/>
              <w:spacing w:line="240" w:lineRule="auto"/>
              <w:jc w:val="left"/>
              <w:rPr>
                <w:rFonts w:hint="eastAsia" w:eastAsia="宋体" w:cs="Times New Roman"/>
                <w:color w:val="auto"/>
              </w:rPr>
            </w:pPr>
            <w:r>
              <w:rPr>
                <w:rFonts w:hint="eastAsia" w:eastAsia="宋体" w:cs="Times New Roman"/>
                <w:color w:val="auto"/>
              </w:rPr>
              <w:t>力争施工中非传统水源和循环水的再利用量大于30%。</w:t>
            </w:r>
          </w:p>
        </w:tc>
      </w:tr>
      <w:tr w14:paraId="1AC2B0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45" w:type="pct"/>
            <w:noWrap w:val="0"/>
            <w:vAlign w:val="center"/>
          </w:tcPr>
          <w:p w14:paraId="56A7652F">
            <w:pPr>
              <w:pStyle w:val="61"/>
              <w:spacing w:line="240" w:lineRule="auto"/>
              <w:jc w:val="center"/>
              <w:rPr>
                <w:rFonts w:hint="eastAsia" w:eastAsia="宋体" w:cs="Times New Roman"/>
                <w:color w:val="auto"/>
              </w:rPr>
            </w:pPr>
            <w:r>
              <w:rPr>
                <w:rFonts w:hint="eastAsia" w:eastAsia="宋体" w:cs="Times New Roman"/>
                <w:color w:val="auto"/>
              </w:rPr>
              <w:t>3</w:t>
            </w:r>
          </w:p>
        </w:tc>
        <w:tc>
          <w:tcPr>
            <w:tcW w:w="633" w:type="pct"/>
            <w:noWrap w:val="0"/>
            <w:vAlign w:val="center"/>
          </w:tcPr>
          <w:p w14:paraId="6B945804">
            <w:pPr>
              <w:pStyle w:val="61"/>
              <w:spacing w:line="240" w:lineRule="auto"/>
              <w:jc w:val="center"/>
              <w:rPr>
                <w:rFonts w:hint="eastAsia" w:eastAsia="宋体" w:cs="Times New Roman"/>
                <w:color w:val="auto"/>
              </w:rPr>
            </w:pPr>
            <w:r>
              <w:rPr>
                <w:rFonts w:hint="eastAsia" w:eastAsia="宋体" w:cs="Times New Roman"/>
                <w:color w:val="auto"/>
              </w:rPr>
              <w:t>用水安全</w:t>
            </w:r>
          </w:p>
        </w:tc>
        <w:tc>
          <w:tcPr>
            <w:tcW w:w="3920" w:type="pct"/>
            <w:noWrap w:val="0"/>
            <w:vAlign w:val="center"/>
          </w:tcPr>
          <w:p w14:paraId="1FFC0097">
            <w:pPr>
              <w:pStyle w:val="61"/>
              <w:spacing w:line="240" w:lineRule="auto"/>
              <w:jc w:val="left"/>
              <w:rPr>
                <w:rFonts w:hint="eastAsia" w:eastAsia="宋体" w:cs="Times New Roman"/>
                <w:color w:val="auto"/>
              </w:rPr>
            </w:pPr>
            <w:r>
              <w:rPr>
                <w:rFonts w:hint="eastAsia" w:eastAsia="宋体" w:cs="Times New Roman"/>
                <w:color w:val="auto"/>
              </w:rPr>
              <w:t>在非传统水源和现场循环再利用水的使用过程中，应制定有效的水质检测与卫生保障措施，确保避免对人体健康、工程质量以及周围环境产生不良影响。</w:t>
            </w:r>
          </w:p>
        </w:tc>
      </w:tr>
    </w:tbl>
    <w:p w14:paraId="5D10222A">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4、节能与能源利用</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92"/>
        <w:gridCol w:w="938"/>
        <w:gridCol w:w="7456"/>
      </w:tblGrid>
      <w:tr w14:paraId="65FE4E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80" w:type="pct"/>
            <w:noWrap w:val="0"/>
            <w:vAlign w:val="center"/>
          </w:tcPr>
          <w:p w14:paraId="23BE7CE6">
            <w:pPr>
              <w:pStyle w:val="61"/>
              <w:spacing w:line="240" w:lineRule="auto"/>
              <w:jc w:val="center"/>
              <w:rPr>
                <w:rFonts w:hint="eastAsia" w:eastAsia="宋体" w:cs="Times New Roman"/>
                <w:color w:val="auto"/>
              </w:rPr>
            </w:pPr>
            <w:r>
              <w:rPr>
                <w:rFonts w:hint="eastAsia" w:eastAsia="宋体" w:cs="Times New Roman"/>
                <w:color w:val="auto"/>
              </w:rPr>
              <w:t>序号</w:t>
            </w:r>
          </w:p>
        </w:tc>
        <w:tc>
          <w:tcPr>
            <w:tcW w:w="505" w:type="pct"/>
            <w:noWrap w:val="0"/>
            <w:vAlign w:val="center"/>
          </w:tcPr>
          <w:p w14:paraId="56BE2E25">
            <w:pPr>
              <w:pStyle w:val="61"/>
              <w:spacing w:line="240" w:lineRule="auto"/>
              <w:jc w:val="center"/>
              <w:rPr>
                <w:rFonts w:hint="eastAsia" w:eastAsia="宋体" w:cs="Times New Roman"/>
                <w:color w:val="auto"/>
              </w:rPr>
            </w:pPr>
            <w:r>
              <w:rPr>
                <w:rFonts w:hint="eastAsia" w:eastAsia="宋体" w:cs="Times New Roman"/>
                <w:color w:val="auto"/>
              </w:rPr>
              <w:t>名称</w:t>
            </w:r>
          </w:p>
        </w:tc>
        <w:tc>
          <w:tcPr>
            <w:tcW w:w="4014" w:type="pct"/>
            <w:noWrap w:val="0"/>
            <w:vAlign w:val="top"/>
          </w:tcPr>
          <w:p w14:paraId="6DF8CD0D">
            <w:pPr>
              <w:pStyle w:val="61"/>
              <w:spacing w:line="240" w:lineRule="auto"/>
              <w:jc w:val="center"/>
              <w:rPr>
                <w:rFonts w:hint="eastAsia" w:eastAsia="宋体" w:cs="Times New Roman"/>
                <w:color w:val="auto"/>
              </w:rPr>
            </w:pPr>
            <w:r>
              <w:rPr>
                <w:rFonts w:hint="eastAsia" w:eastAsia="宋体" w:cs="Times New Roman"/>
                <w:color w:val="auto"/>
              </w:rPr>
              <w:t>内容</w:t>
            </w:r>
          </w:p>
        </w:tc>
      </w:tr>
      <w:tr w14:paraId="32B4DB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80" w:type="pct"/>
            <w:noWrap w:val="0"/>
            <w:vAlign w:val="center"/>
          </w:tcPr>
          <w:p w14:paraId="35CCD078">
            <w:pPr>
              <w:pStyle w:val="61"/>
              <w:spacing w:line="240" w:lineRule="auto"/>
              <w:jc w:val="center"/>
              <w:rPr>
                <w:rFonts w:hint="eastAsia" w:eastAsia="宋体" w:cs="Times New Roman"/>
                <w:color w:val="auto"/>
              </w:rPr>
            </w:pPr>
            <w:r>
              <w:rPr>
                <w:rFonts w:hint="eastAsia" w:eastAsia="宋体" w:cs="Times New Roman"/>
                <w:color w:val="auto"/>
              </w:rPr>
              <w:t>1</w:t>
            </w:r>
          </w:p>
        </w:tc>
        <w:tc>
          <w:tcPr>
            <w:tcW w:w="505" w:type="pct"/>
            <w:noWrap w:val="0"/>
            <w:vAlign w:val="center"/>
          </w:tcPr>
          <w:p w14:paraId="2E5F9E6C">
            <w:pPr>
              <w:pStyle w:val="61"/>
              <w:spacing w:line="240" w:lineRule="auto"/>
              <w:jc w:val="center"/>
              <w:rPr>
                <w:rFonts w:hint="eastAsia" w:eastAsia="宋体" w:cs="Times New Roman"/>
                <w:color w:val="auto"/>
              </w:rPr>
            </w:pPr>
            <w:r>
              <w:rPr>
                <w:rFonts w:hint="eastAsia" w:eastAsia="宋体" w:cs="Times New Roman"/>
                <w:color w:val="auto"/>
              </w:rPr>
              <w:t>施工现场布置</w:t>
            </w:r>
          </w:p>
        </w:tc>
        <w:tc>
          <w:tcPr>
            <w:tcW w:w="4014" w:type="pct"/>
            <w:noWrap w:val="0"/>
            <w:vAlign w:val="top"/>
          </w:tcPr>
          <w:p w14:paraId="5515FE39">
            <w:pPr>
              <w:pStyle w:val="61"/>
              <w:spacing w:line="240" w:lineRule="auto"/>
              <w:jc w:val="left"/>
              <w:rPr>
                <w:rFonts w:hint="eastAsia" w:eastAsia="宋体" w:cs="Times New Roman"/>
                <w:color w:val="auto"/>
              </w:rPr>
            </w:pPr>
            <w:r>
              <w:rPr>
                <w:rFonts w:hint="eastAsia" w:eastAsia="宋体" w:cs="Times New Roman"/>
                <w:color w:val="auto"/>
              </w:rPr>
              <w:t>制订节能措施和能耗控制指标，提高能源利用率，对能源消耗量大的工艺必须制定专项降耗措施。</w:t>
            </w:r>
          </w:p>
          <w:p w14:paraId="3C31EB56">
            <w:pPr>
              <w:pStyle w:val="61"/>
              <w:spacing w:line="240" w:lineRule="auto"/>
              <w:jc w:val="left"/>
              <w:rPr>
                <w:rFonts w:hint="eastAsia" w:eastAsia="宋体" w:cs="Times New Roman"/>
                <w:color w:val="auto"/>
              </w:rPr>
            </w:pPr>
            <w:r>
              <w:rPr>
                <w:rFonts w:hint="eastAsia" w:eastAsia="宋体" w:cs="Times New Roman"/>
                <w:color w:val="auto"/>
              </w:rPr>
              <w:t>优先使用国家、行业推荐的节能、高效、环保的施工设备和机具，如选用变频技术的节能施工设备等。</w:t>
            </w:r>
          </w:p>
          <w:p w14:paraId="572BFA7D">
            <w:pPr>
              <w:pStyle w:val="61"/>
              <w:spacing w:line="240" w:lineRule="auto"/>
              <w:jc w:val="left"/>
              <w:rPr>
                <w:rFonts w:hint="eastAsia" w:eastAsia="宋体" w:cs="Times New Roman"/>
                <w:color w:val="auto"/>
              </w:rPr>
            </w:pPr>
            <w:r>
              <w:rPr>
                <w:rFonts w:hint="eastAsia" w:eastAsia="宋体" w:cs="Times New Roman"/>
                <w:color w:val="auto"/>
              </w:rPr>
              <w:t>施工现场分别设定生产、生活、办公和施工设备的用电控制指标，定期进行计量、核算、对比分析，并有预防与纠正措施。</w:t>
            </w:r>
          </w:p>
          <w:p w14:paraId="7095BCFC">
            <w:pPr>
              <w:pStyle w:val="61"/>
              <w:spacing w:line="240" w:lineRule="auto"/>
              <w:jc w:val="left"/>
              <w:rPr>
                <w:rFonts w:hint="eastAsia" w:eastAsia="宋体" w:cs="Times New Roman"/>
                <w:color w:val="auto"/>
              </w:rPr>
            </w:pPr>
            <w:r>
              <w:rPr>
                <w:rFonts w:hint="eastAsia" w:eastAsia="宋体" w:cs="Times New Roman"/>
                <w:color w:val="auto"/>
              </w:rPr>
              <w:t>在施工组织设计中，合理安排施工顺序、工作面，以减少作业区域的机具数量，相邻作业区充分利用共有的机具资源。安排施工工艺时，应优先考虑耗用电能的或其它能耗较少的施工工艺。避免设备额定功率远大于使用功率或超负荷使用设备的现象。</w:t>
            </w:r>
          </w:p>
          <w:p w14:paraId="5C7E3738">
            <w:pPr>
              <w:pStyle w:val="61"/>
              <w:spacing w:line="240" w:lineRule="auto"/>
              <w:jc w:val="left"/>
              <w:rPr>
                <w:rFonts w:hint="eastAsia" w:eastAsia="宋体" w:cs="Times New Roman"/>
                <w:color w:val="auto"/>
              </w:rPr>
            </w:pPr>
            <w:r>
              <w:rPr>
                <w:rFonts w:hint="eastAsia" w:eastAsia="宋体" w:cs="Times New Roman"/>
                <w:color w:val="auto"/>
              </w:rPr>
              <w:t>根据当地气候和自然资源条件，充分利用太阳能、地热等可再生能源。</w:t>
            </w:r>
          </w:p>
        </w:tc>
      </w:tr>
      <w:tr w14:paraId="45FF4D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80" w:type="pct"/>
            <w:noWrap w:val="0"/>
            <w:vAlign w:val="center"/>
          </w:tcPr>
          <w:p w14:paraId="0A9E742A">
            <w:pPr>
              <w:pStyle w:val="61"/>
              <w:spacing w:line="240" w:lineRule="auto"/>
              <w:jc w:val="center"/>
              <w:rPr>
                <w:rFonts w:hint="eastAsia" w:eastAsia="宋体" w:cs="Times New Roman"/>
                <w:color w:val="auto"/>
              </w:rPr>
            </w:pPr>
            <w:r>
              <w:rPr>
                <w:rFonts w:hint="eastAsia" w:eastAsia="宋体" w:cs="Times New Roman"/>
                <w:color w:val="auto"/>
              </w:rPr>
              <w:t>2</w:t>
            </w:r>
          </w:p>
        </w:tc>
        <w:tc>
          <w:tcPr>
            <w:tcW w:w="505" w:type="pct"/>
            <w:noWrap w:val="0"/>
            <w:vAlign w:val="center"/>
          </w:tcPr>
          <w:p w14:paraId="12E73570">
            <w:pPr>
              <w:pStyle w:val="61"/>
              <w:spacing w:line="240" w:lineRule="auto"/>
              <w:jc w:val="center"/>
              <w:rPr>
                <w:rFonts w:hint="eastAsia" w:eastAsia="宋体" w:cs="Times New Roman"/>
                <w:color w:val="auto"/>
              </w:rPr>
            </w:pPr>
            <w:r>
              <w:rPr>
                <w:rFonts w:hint="eastAsia" w:eastAsia="宋体" w:cs="Times New Roman"/>
                <w:color w:val="auto"/>
              </w:rPr>
              <w:t>机械设备与机具</w:t>
            </w:r>
          </w:p>
        </w:tc>
        <w:tc>
          <w:tcPr>
            <w:tcW w:w="4014" w:type="pct"/>
            <w:noWrap w:val="0"/>
            <w:vAlign w:val="top"/>
          </w:tcPr>
          <w:p w14:paraId="0A237650">
            <w:pPr>
              <w:pStyle w:val="61"/>
              <w:spacing w:line="240" w:lineRule="auto"/>
              <w:jc w:val="left"/>
              <w:rPr>
                <w:rFonts w:hint="eastAsia" w:eastAsia="宋体" w:cs="Times New Roman"/>
                <w:color w:val="auto"/>
              </w:rPr>
            </w:pPr>
            <w:r>
              <w:rPr>
                <w:rFonts w:hint="eastAsia" w:eastAsia="宋体" w:cs="Times New Roman"/>
                <w:color w:val="auto"/>
              </w:rPr>
              <w:t>应建立机械设备保养、保修、检验制度。开展用电、用油计量，完善设备档案，及时做好维修保养工作，使机械设备保持低耗、高效的状态。</w:t>
            </w:r>
          </w:p>
          <w:p w14:paraId="35602C2A">
            <w:pPr>
              <w:pStyle w:val="61"/>
              <w:spacing w:line="240" w:lineRule="auto"/>
              <w:jc w:val="left"/>
              <w:rPr>
                <w:rFonts w:hint="eastAsia" w:eastAsia="宋体" w:cs="Times New Roman"/>
                <w:color w:val="auto"/>
              </w:rPr>
            </w:pPr>
            <w:r>
              <w:rPr>
                <w:rFonts w:hint="eastAsia" w:eastAsia="宋体" w:cs="Times New Roman"/>
                <w:color w:val="auto"/>
              </w:rPr>
              <w:t>选择功率与负载相匹配的施工机械设备，避免大功率施工机械设备低负载长时间运行。机电安装可采用节电型机械设备，如逆变式电焊机和能耗低、效率高的手持电动工具等，以利节电。机械设备宜使用节能型油料添加剂，在可能的情况下，考虑回收利用，节约油量。</w:t>
            </w:r>
          </w:p>
          <w:p w14:paraId="540A4197">
            <w:pPr>
              <w:pStyle w:val="61"/>
              <w:spacing w:line="240" w:lineRule="auto"/>
              <w:jc w:val="left"/>
              <w:rPr>
                <w:rFonts w:hint="eastAsia" w:eastAsia="宋体" w:cs="Times New Roman"/>
                <w:color w:val="auto"/>
              </w:rPr>
            </w:pPr>
            <w:r>
              <w:rPr>
                <w:rFonts w:hint="eastAsia" w:eastAsia="宋体" w:cs="Times New Roman"/>
                <w:color w:val="auto"/>
              </w:rPr>
              <w:t>220V／380V单相用电设备接入220／380V三相系统时，宜使用三相平衡。</w:t>
            </w:r>
          </w:p>
          <w:p w14:paraId="5DC4EA8F">
            <w:pPr>
              <w:pStyle w:val="61"/>
              <w:spacing w:line="240" w:lineRule="auto"/>
              <w:jc w:val="left"/>
              <w:rPr>
                <w:rFonts w:hint="eastAsia" w:eastAsia="宋体" w:cs="Times New Roman"/>
                <w:color w:val="auto"/>
              </w:rPr>
            </w:pPr>
            <w:r>
              <w:rPr>
                <w:rFonts w:hint="eastAsia" w:eastAsia="宋体" w:cs="Times New Roman"/>
                <w:color w:val="auto"/>
              </w:rPr>
              <w:t>合理安排工序，提高机械的使用率和满载率，降低设备的单位耗能。</w:t>
            </w:r>
          </w:p>
          <w:p w14:paraId="3FD3CBFE">
            <w:pPr>
              <w:pStyle w:val="61"/>
              <w:spacing w:line="240" w:lineRule="auto"/>
              <w:jc w:val="left"/>
              <w:rPr>
                <w:rFonts w:hint="eastAsia" w:eastAsia="宋体" w:cs="Times New Roman"/>
                <w:color w:val="auto"/>
              </w:rPr>
            </w:pPr>
            <w:r>
              <w:rPr>
                <w:rFonts w:hint="eastAsia" w:eastAsia="宋体" w:cs="Times New Roman"/>
                <w:color w:val="auto"/>
              </w:rPr>
              <w:t>应实行用电计量管理，严格控制施工阶段用电量。</w:t>
            </w:r>
          </w:p>
        </w:tc>
      </w:tr>
      <w:tr w14:paraId="0B8F4D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80" w:type="pct"/>
            <w:noWrap w:val="0"/>
            <w:vAlign w:val="center"/>
          </w:tcPr>
          <w:p w14:paraId="68A86579">
            <w:pPr>
              <w:pStyle w:val="61"/>
              <w:spacing w:line="240" w:lineRule="auto"/>
              <w:jc w:val="center"/>
              <w:rPr>
                <w:rFonts w:hint="eastAsia" w:eastAsia="宋体" w:cs="Times New Roman"/>
                <w:color w:val="auto"/>
              </w:rPr>
            </w:pPr>
            <w:r>
              <w:rPr>
                <w:rFonts w:hint="eastAsia" w:eastAsia="宋体" w:cs="Times New Roman"/>
                <w:color w:val="auto"/>
              </w:rPr>
              <w:t>3</w:t>
            </w:r>
          </w:p>
        </w:tc>
        <w:tc>
          <w:tcPr>
            <w:tcW w:w="505" w:type="pct"/>
            <w:noWrap w:val="0"/>
            <w:vAlign w:val="center"/>
          </w:tcPr>
          <w:p w14:paraId="046161A8">
            <w:pPr>
              <w:pStyle w:val="61"/>
              <w:spacing w:line="240" w:lineRule="auto"/>
              <w:jc w:val="center"/>
              <w:rPr>
                <w:rFonts w:hint="eastAsia" w:eastAsia="宋体" w:cs="Times New Roman"/>
                <w:color w:val="auto"/>
              </w:rPr>
            </w:pPr>
            <w:r>
              <w:rPr>
                <w:rFonts w:hint="eastAsia" w:eastAsia="宋体" w:cs="Times New Roman"/>
                <w:color w:val="auto"/>
              </w:rPr>
              <w:t>生产、生活及办公临时设施</w:t>
            </w:r>
          </w:p>
        </w:tc>
        <w:tc>
          <w:tcPr>
            <w:tcW w:w="4014" w:type="pct"/>
            <w:noWrap w:val="0"/>
            <w:vAlign w:val="top"/>
          </w:tcPr>
          <w:p w14:paraId="51E728CB">
            <w:pPr>
              <w:pStyle w:val="61"/>
              <w:spacing w:line="240" w:lineRule="auto"/>
              <w:jc w:val="left"/>
              <w:rPr>
                <w:rFonts w:hint="eastAsia" w:eastAsia="宋体" w:cs="Times New Roman"/>
                <w:color w:val="auto"/>
              </w:rPr>
            </w:pPr>
            <w:r>
              <w:rPr>
                <w:rFonts w:hint="eastAsia" w:eastAsia="宋体" w:cs="Times New Roman"/>
                <w:color w:val="auto"/>
              </w:rPr>
              <w:t>利用场地自然条件，合理设计生产、生活及办公临时设施的体形、朝向、间距和窗墙面积比，使其获得良好的日照、通风和采光。</w:t>
            </w:r>
          </w:p>
          <w:p w14:paraId="5C7C332C">
            <w:pPr>
              <w:pStyle w:val="61"/>
              <w:spacing w:line="240" w:lineRule="auto"/>
              <w:jc w:val="left"/>
              <w:rPr>
                <w:rFonts w:hint="eastAsia" w:eastAsia="宋体" w:cs="Times New Roman"/>
                <w:color w:val="auto"/>
              </w:rPr>
            </w:pPr>
            <w:r>
              <w:rPr>
                <w:rFonts w:hint="eastAsia" w:eastAsia="宋体" w:cs="Times New Roman"/>
                <w:color w:val="auto"/>
              </w:rPr>
              <w:t>临时设施宜采用节能材料，墙体、屋面使用隔热性能好的材料，减少夏天空调设备的使用时间及耗能量。</w:t>
            </w:r>
          </w:p>
          <w:p w14:paraId="66E9659E">
            <w:pPr>
              <w:pStyle w:val="61"/>
              <w:spacing w:line="240" w:lineRule="auto"/>
              <w:jc w:val="left"/>
              <w:rPr>
                <w:rFonts w:hint="eastAsia" w:eastAsia="宋体" w:cs="Times New Roman"/>
                <w:color w:val="auto"/>
              </w:rPr>
            </w:pPr>
            <w:r>
              <w:rPr>
                <w:rFonts w:hint="eastAsia" w:eastAsia="宋体" w:cs="Times New Roman"/>
                <w:color w:val="auto"/>
              </w:rPr>
              <w:t>合理配置采暖、空调、风扇数量，规定使用时间，实行分段分时使用。</w:t>
            </w:r>
          </w:p>
        </w:tc>
      </w:tr>
      <w:tr w14:paraId="7FC6F8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80" w:type="pct"/>
            <w:noWrap w:val="0"/>
            <w:vAlign w:val="center"/>
          </w:tcPr>
          <w:p w14:paraId="2525D8B5">
            <w:pPr>
              <w:pStyle w:val="61"/>
              <w:spacing w:line="240" w:lineRule="auto"/>
              <w:jc w:val="center"/>
              <w:rPr>
                <w:rFonts w:hint="eastAsia" w:eastAsia="宋体" w:cs="Times New Roman"/>
                <w:color w:val="auto"/>
              </w:rPr>
            </w:pPr>
            <w:r>
              <w:rPr>
                <w:rFonts w:hint="eastAsia" w:eastAsia="宋体" w:cs="Times New Roman"/>
                <w:color w:val="auto"/>
              </w:rPr>
              <w:t>4</w:t>
            </w:r>
          </w:p>
        </w:tc>
        <w:tc>
          <w:tcPr>
            <w:tcW w:w="505" w:type="pct"/>
            <w:noWrap w:val="0"/>
            <w:vAlign w:val="center"/>
          </w:tcPr>
          <w:p w14:paraId="75CC016D">
            <w:pPr>
              <w:pStyle w:val="61"/>
              <w:spacing w:line="240" w:lineRule="auto"/>
              <w:jc w:val="center"/>
              <w:rPr>
                <w:rFonts w:hint="eastAsia" w:eastAsia="宋体" w:cs="Times New Roman"/>
                <w:color w:val="auto"/>
              </w:rPr>
            </w:pPr>
            <w:r>
              <w:rPr>
                <w:rFonts w:hint="eastAsia" w:eastAsia="宋体" w:cs="Times New Roman"/>
                <w:color w:val="auto"/>
              </w:rPr>
              <w:t>施工用电及照明</w:t>
            </w:r>
          </w:p>
        </w:tc>
        <w:tc>
          <w:tcPr>
            <w:tcW w:w="4014" w:type="pct"/>
            <w:noWrap w:val="0"/>
            <w:vAlign w:val="top"/>
          </w:tcPr>
          <w:p w14:paraId="61EF14ED">
            <w:pPr>
              <w:pStyle w:val="61"/>
              <w:spacing w:line="240" w:lineRule="auto"/>
              <w:jc w:val="left"/>
              <w:rPr>
                <w:rFonts w:hint="eastAsia" w:eastAsia="宋体" w:cs="Times New Roman"/>
                <w:color w:val="auto"/>
              </w:rPr>
            </w:pPr>
            <w:r>
              <w:rPr>
                <w:rFonts w:hint="eastAsia" w:eastAsia="宋体" w:cs="Times New Roman"/>
                <w:color w:val="auto"/>
              </w:rPr>
              <w:t>临时用电优先选用节能电线和节能灯具，临电线路合理设计、布置，临电设备宜采用自动控制装置。采用声控、光控等节能照明灯具。</w:t>
            </w:r>
          </w:p>
        </w:tc>
      </w:tr>
    </w:tbl>
    <w:p w14:paraId="64A0C687">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5、节地与施工用地保护</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76"/>
        <w:gridCol w:w="1340"/>
        <w:gridCol w:w="7070"/>
      </w:tblGrid>
      <w:tr w14:paraId="2C3BDA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72" w:type="pct"/>
            <w:noWrap w:val="0"/>
            <w:vAlign w:val="center"/>
          </w:tcPr>
          <w:p w14:paraId="24BD1DAB">
            <w:pPr>
              <w:pStyle w:val="61"/>
              <w:spacing w:line="240" w:lineRule="auto"/>
              <w:jc w:val="center"/>
              <w:rPr>
                <w:rFonts w:hint="eastAsia" w:eastAsia="宋体" w:cs="Times New Roman"/>
                <w:color w:val="auto"/>
              </w:rPr>
            </w:pPr>
            <w:r>
              <w:rPr>
                <w:rFonts w:hint="eastAsia" w:eastAsia="宋体" w:cs="Times New Roman"/>
                <w:color w:val="auto"/>
              </w:rPr>
              <w:t>序号</w:t>
            </w:r>
          </w:p>
        </w:tc>
        <w:tc>
          <w:tcPr>
            <w:tcW w:w="721" w:type="pct"/>
            <w:noWrap w:val="0"/>
            <w:vAlign w:val="center"/>
          </w:tcPr>
          <w:p w14:paraId="639E0961">
            <w:pPr>
              <w:pStyle w:val="61"/>
              <w:spacing w:line="240" w:lineRule="auto"/>
              <w:jc w:val="center"/>
              <w:rPr>
                <w:rFonts w:hint="eastAsia" w:eastAsia="宋体" w:cs="Times New Roman"/>
                <w:color w:val="auto"/>
              </w:rPr>
            </w:pPr>
            <w:r>
              <w:rPr>
                <w:rFonts w:hint="eastAsia" w:eastAsia="宋体" w:cs="Times New Roman"/>
                <w:color w:val="auto"/>
              </w:rPr>
              <w:t>名称</w:t>
            </w:r>
          </w:p>
        </w:tc>
        <w:tc>
          <w:tcPr>
            <w:tcW w:w="3805" w:type="pct"/>
            <w:noWrap w:val="0"/>
            <w:vAlign w:val="top"/>
          </w:tcPr>
          <w:p w14:paraId="1BE848E4">
            <w:pPr>
              <w:pStyle w:val="61"/>
              <w:spacing w:line="240" w:lineRule="auto"/>
              <w:jc w:val="center"/>
              <w:rPr>
                <w:rFonts w:hint="eastAsia" w:eastAsia="宋体" w:cs="Times New Roman"/>
                <w:color w:val="auto"/>
              </w:rPr>
            </w:pPr>
            <w:r>
              <w:rPr>
                <w:rFonts w:hint="eastAsia" w:eastAsia="宋体" w:cs="Times New Roman"/>
                <w:color w:val="auto"/>
              </w:rPr>
              <w:t>内容</w:t>
            </w:r>
          </w:p>
        </w:tc>
      </w:tr>
      <w:tr w14:paraId="363B3D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72" w:type="pct"/>
            <w:noWrap w:val="0"/>
            <w:vAlign w:val="center"/>
          </w:tcPr>
          <w:p w14:paraId="652216E6">
            <w:pPr>
              <w:pStyle w:val="61"/>
              <w:spacing w:line="240" w:lineRule="auto"/>
              <w:jc w:val="center"/>
              <w:rPr>
                <w:rFonts w:hint="eastAsia" w:eastAsia="宋体" w:cs="Times New Roman"/>
                <w:color w:val="auto"/>
              </w:rPr>
            </w:pPr>
            <w:r>
              <w:rPr>
                <w:rFonts w:hint="eastAsia" w:eastAsia="宋体" w:cs="Times New Roman"/>
                <w:color w:val="auto"/>
              </w:rPr>
              <w:t>1</w:t>
            </w:r>
          </w:p>
        </w:tc>
        <w:tc>
          <w:tcPr>
            <w:tcW w:w="721" w:type="pct"/>
            <w:noWrap w:val="0"/>
            <w:vAlign w:val="center"/>
          </w:tcPr>
          <w:p w14:paraId="5F79FB8A">
            <w:pPr>
              <w:pStyle w:val="61"/>
              <w:spacing w:line="240" w:lineRule="auto"/>
              <w:jc w:val="center"/>
              <w:rPr>
                <w:rFonts w:hint="eastAsia" w:eastAsia="宋体" w:cs="Times New Roman"/>
                <w:color w:val="auto"/>
              </w:rPr>
            </w:pPr>
            <w:r>
              <w:rPr>
                <w:rFonts w:hint="eastAsia" w:eastAsia="宋体" w:cs="Times New Roman"/>
                <w:color w:val="auto"/>
              </w:rPr>
              <w:t>临时用地指标</w:t>
            </w:r>
          </w:p>
        </w:tc>
        <w:tc>
          <w:tcPr>
            <w:tcW w:w="3805" w:type="pct"/>
            <w:noWrap w:val="0"/>
            <w:vAlign w:val="top"/>
          </w:tcPr>
          <w:p w14:paraId="7C6D4214">
            <w:pPr>
              <w:pStyle w:val="61"/>
              <w:spacing w:line="240" w:lineRule="auto"/>
              <w:jc w:val="left"/>
              <w:rPr>
                <w:rFonts w:hint="eastAsia" w:eastAsia="宋体" w:cs="Times New Roman"/>
                <w:color w:val="auto"/>
              </w:rPr>
            </w:pPr>
            <w:r>
              <w:rPr>
                <w:rFonts w:hint="eastAsia" w:eastAsia="宋体" w:cs="Times New Roman"/>
                <w:color w:val="auto"/>
              </w:rPr>
              <w:t>根据施工规模及现场条件等因素合理确定临时设施，如临时加工厂、现场作业棚及材料堆场、办公生活设施等的占地指标。临时设施的占地面积应按用地指标所需的最低面积设计。</w:t>
            </w:r>
          </w:p>
          <w:p w14:paraId="19FABB94">
            <w:pPr>
              <w:pStyle w:val="61"/>
              <w:spacing w:line="240" w:lineRule="auto"/>
              <w:jc w:val="left"/>
              <w:rPr>
                <w:rFonts w:hint="eastAsia" w:eastAsia="宋体" w:cs="Times New Roman"/>
                <w:color w:val="auto"/>
              </w:rPr>
            </w:pPr>
            <w:r>
              <w:rPr>
                <w:rFonts w:hint="eastAsia" w:eastAsia="宋体" w:cs="Times New Roman"/>
                <w:color w:val="auto"/>
              </w:rPr>
              <w:t>要求平面布置合理、紧凑，在满足环境、职业健康与安全及文明施工要求的前提下尽可能减少废弃地和死角，临时设施占地面积有效利用率大于90%。</w:t>
            </w:r>
          </w:p>
        </w:tc>
      </w:tr>
      <w:tr w14:paraId="104578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72" w:type="pct"/>
            <w:noWrap w:val="0"/>
            <w:vAlign w:val="center"/>
          </w:tcPr>
          <w:p w14:paraId="538E457F">
            <w:pPr>
              <w:pStyle w:val="61"/>
              <w:spacing w:line="240" w:lineRule="auto"/>
              <w:jc w:val="center"/>
              <w:rPr>
                <w:rFonts w:hint="eastAsia" w:eastAsia="宋体" w:cs="Times New Roman"/>
                <w:color w:val="auto"/>
              </w:rPr>
            </w:pPr>
            <w:r>
              <w:rPr>
                <w:rFonts w:hint="eastAsia" w:eastAsia="宋体" w:cs="Times New Roman"/>
                <w:color w:val="auto"/>
              </w:rPr>
              <w:t>2</w:t>
            </w:r>
          </w:p>
        </w:tc>
        <w:tc>
          <w:tcPr>
            <w:tcW w:w="721" w:type="pct"/>
            <w:noWrap w:val="0"/>
            <w:vAlign w:val="center"/>
          </w:tcPr>
          <w:p w14:paraId="0CBD6DE4">
            <w:pPr>
              <w:pStyle w:val="61"/>
              <w:spacing w:line="240" w:lineRule="auto"/>
              <w:jc w:val="center"/>
              <w:rPr>
                <w:rFonts w:hint="eastAsia" w:eastAsia="宋体" w:cs="Times New Roman"/>
                <w:color w:val="auto"/>
              </w:rPr>
            </w:pPr>
            <w:r>
              <w:rPr>
                <w:rFonts w:hint="eastAsia" w:eastAsia="宋体" w:cs="Times New Roman"/>
                <w:color w:val="auto"/>
              </w:rPr>
              <w:t>临时用地保护</w:t>
            </w:r>
          </w:p>
        </w:tc>
        <w:tc>
          <w:tcPr>
            <w:tcW w:w="3805" w:type="pct"/>
            <w:noWrap w:val="0"/>
            <w:vAlign w:val="top"/>
          </w:tcPr>
          <w:p w14:paraId="46BEFBCB">
            <w:pPr>
              <w:pStyle w:val="61"/>
              <w:spacing w:line="240" w:lineRule="auto"/>
              <w:jc w:val="left"/>
              <w:rPr>
                <w:rFonts w:hint="eastAsia" w:eastAsia="宋体" w:cs="Times New Roman"/>
                <w:color w:val="auto"/>
              </w:rPr>
            </w:pPr>
            <w:r>
              <w:rPr>
                <w:rFonts w:hint="eastAsia" w:eastAsia="宋体" w:cs="Times New Roman"/>
                <w:color w:val="auto"/>
              </w:rPr>
              <w:t>应对基坑施工方案进行优化，减少土方开挖和回填量，最大限度地减少对土地的扰动，保护周边自然生态环境。</w:t>
            </w:r>
          </w:p>
          <w:p w14:paraId="6DF05DEC">
            <w:pPr>
              <w:pStyle w:val="61"/>
              <w:spacing w:line="240" w:lineRule="auto"/>
              <w:jc w:val="left"/>
              <w:rPr>
                <w:rFonts w:hint="eastAsia" w:eastAsia="宋体" w:cs="Times New Roman"/>
                <w:color w:val="auto"/>
              </w:rPr>
            </w:pPr>
            <w:r>
              <w:rPr>
                <w:rFonts w:hint="eastAsia" w:eastAsia="宋体" w:cs="Times New Roman"/>
                <w:color w:val="auto"/>
              </w:rPr>
              <w:t>红线外临时占地应尽量使用荒地、废地，少占用农田和耕地。工程完工后，及时对红线外占地恢复原地形、地貌，使施工活动对周边环境的影响降至最低。</w:t>
            </w:r>
          </w:p>
          <w:p w14:paraId="1B8ED463">
            <w:pPr>
              <w:pStyle w:val="61"/>
              <w:spacing w:line="240" w:lineRule="auto"/>
              <w:jc w:val="left"/>
              <w:rPr>
                <w:rFonts w:hint="eastAsia" w:eastAsia="宋体" w:cs="Times New Roman"/>
                <w:color w:val="auto"/>
              </w:rPr>
            </w:pPr>
            <w:r>
              <w:rPr>
                <w:rFonts w:hint="eastAsia" w:eastAsia="宋体" w:cs="Times New Roman"/>
                <w:color w:val="auto"/>
              </w:rPr>
              <w:t>利用和保护施工用地范围内原有绿色植被。</w:t>
            </w:r>
          </w:p>
        </w:tc>
      </w:tr>
      <w:tr w14:paraId="0A9953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72" w:type="pct"/>
            <w:noWrap w:val="0"/>
            <w:vAlign w:val="center"/>
          </w:tcPr>
          <w:p w14:paraId="5739518E">
            <w:pPr>
              <w:pStyle w:val="61"/>
              <w:spacing w:line="240" w:lineRule="auto"/>
              <w:jc w:val="center"/>
              <w:rPr>
                <w:rFonts w:hint="eastAsia" w:eastAsia="宋体" w:cs="Times New Roman"/>
                <w:color w:val="auto"/>
              </w:rPr>
            </w:pPr>
            <w:r>
              <w:rPr>
                <w:rFonts w:hint="eastAsia" w:eastAsia="宋体" w:cs="Times New Roman"/>
                <w:color w:val="auto"/>
              </w:rPr>
              <w:t>3</w:t>
            </w:r>
          </w:p>
        </w:tc>
        <w:tc>
          <w:tcPr>
            <w:tcW w:w="721" w:type="pct"/>
            <w:noWrap w:val="0"/>
            <w:vAlign w:val="center"/>
          </w:tcPr>
          <w:p w14:paraId="2425ABF0">
            <w:pPr>
              <w:pStyle w:val="61"/>
              <w:spacing w:line="240" w:lineRule="auto"/>
              <w:jc w:val="center"/>
              <w:rPr>
                <w:rFonts w:hint="eastAsia" w:eastAsia="宋体" w:cs="Times New Roman"/>
                <w:color w:val="auto"/>
              </w:rPr>
            </w:pPr>
            <w:r>
              <w:rPr>
                <w:rFonts w:hint="eastAsia" w:eastAsia="宋体" w:cs="Times New Roman"/>
                <w:color w:val="auto"/>
              </w:rPr>
              <w:t>施工总平面布置</w:t>
            </w:r>
          </w:p>
        </w:tc>
        <w:tc>
          <w:tcPr>
            <w:tcW w:w="3805" w:type="pct"/>
            <w:noWrap w:val="0"/>
            <w:vAlign w:val="top"/>
          </w:tcPr>
          <w:p w14:paraId="41FD67F7">
            <w:pPr>
              <w:pStyle w:val="61"/>
              <w:spacing w:line="240" w:lineRule="auto"/>
              <w:jc w:val="left"/>
              <w:rPr>
                <w:rFonts w:hint="eastAsia" w:eastAsia="宋体" w:cs="Times New Roman"/>
                <w:color w:val="auto"/>
              </w:rPr>
            </w:pPr>
            <w:r>
              <w:rPr>
                <w:rFonts w:hint="eastAsia" w:eastAsia="宋体" w:cs="Times New Roman"/>
                <w:color w:val="auto"/>
              </w:rPr>
              <w:t>施工总平面布置应做到科学、合理，充分利用原有建筑物、构筑物、道路、管线为施工服务。</w:t>
            </w:r>
          </w:p>
          <w:p w14:paraId="0B263CA9">
            <w:pPr>
              <w:pStyle w:val="61"/>
              <w:spacing w:line="240" w:lineRule="auto"/>
              <w:jc w:val="left"/>
              <w:rPr>
                <w:rFonts w:hint="eastAsia" w:eastAsia="宋体" w:cs="Times New Roman"/>
                <w:color w:val="auto"/>
              </w:rPr>
            </w:pPr>
            <w:r>
              <w:rPr>
                <w:rFonts w:hint="eastAsia" w:eastAsia="宋体" w:cs="Times New Roman"/>
                <w:color w:val="auto"/>
              </w:rPr>
              <w:t>施工现场、仓库、加工厂、作业棚、材料堆场等布置应尽量靠近已有交通线路或即将修建的正式或临时交通线路，缩短运输距离。</w:t>
            </w:r>
          </w:p>
          <w:p w14:paraId="43825C9B">
            <w:pPr>
              <w:pStyle w:val="61"/>
              <w:spacing w:line="240" w:lineRule="auto"/>
              <w:jc w:val="left"/>
              <w:rPr>
                <w:rFonts w:hint="eastAsia" w:eastAsia="宋体" w:cs="Times New Roman"/>
                <w:color w:val="auto"/>
              </w:rPr>
            </w:pPr>
            <w:r>
              <w:rPr>
                <w:rFonts w:hint="eastAsia" w:eastAsia="宋体" w:cs="Times New Roman"/>
                <w:color w:val="auto"/>
              </w:rPr>
              <w:t>施工现场道路按照永久道路和临时道路相结合的原则布置。施工现场内形成环形通路，减少道路占用土地。</w:t>
            </w:r>
          </w:p>
          <w:p w14:paraId="2054EE7F">
            <w:pPr>
              <w:pStyle w:val="61"/>
              <w:spacing w:line="240" w:lineRule="auto"/>
              <w:jc w:val="left"/>
              <w:rPr>
                <w:rFonts w:hint="eastAsia" w:eastAsia="宋体" w:cs="Times New Roman"/>
                <w:color w:val="auto"/>
              </w:rPr>
            </w:pPr>
            <w:r>
              <w:rPr>
                <w:rFonts w:hint="eastAsia" w:eastAsia="宋体" w:cs="Times New Roman"/>
                <w:color w:val="auto"/>
              </w:rPr>
              <w:t>临时设施布置应注意远近结合，努力减少和避免大量临时建筑拆迁和场地搬迁。</w:t>
            </w:r>
          </w:p>
        </w:tc>
      </w:tr>
    </w:tbl>
    <w:p w14:paraId="0B31846D">
      <w:pP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6、发展绿色施工的新技术、新设备、新材料与新工艺</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17"/>
        <w:gridCol w:w="8569"/>
      </w:tblGrid>
      <w:tr w14:paraId="7AFCE3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86" w:type="pct"/>
            <w:noWrap w:val="0"/>
            <w:vAlign w:val="center"/>
          </w:tcPr>
          <w:p w14:paraId="2F3978DC">
            <w:pPr>
              <w:pStyle w:val="61"/>
              <w:spacing w:line="240" w:lineRule="auto"/>
              <w:jc w:val="center"/>
              <w:rPr>
                <w:rFonts w:hint="eastAsia" w:eastAsia="宋体" w:cs="Times New Roman"/>
                <w:color w:val="auto"/>
              </w:rPr>
            </w:pPr>
            <w:r>
              <w:rPr>
                <w:rFonts w:hint="eastAsia" w:eastAsia="宋体" w:cs="Times New Roman"/>
                <w:color w:val="auto"/>
              </w:rPr>
              <w:t>序号</w:t>
            </w:r>
          </w:p>
        </w:tc>
        <w:tc>
          <w:tcPr>
            <w:tcW w:w="4613" w:type="pct"/>
            <w:noWrap w:val="0"/>
            <w:vAlign w:val="top"/>
          </w:tcPr>
          <w:p w14:paraId="6068DECA">
            <w:pPr>
              <w:pStyle w:val="61"/>
              <w:spacing w:line="240" w:lineRule="auto"/>
              <w:jc w:val="center"/>
              <w:rPr>
                <w:rFonts w:hint="eastAsia" w:eastAsia="宋体" w:cs="Times New Roman"/>
                <w:color w:val="auto"/>
              </w:rPr>
            </w:pPr>
            <w:r>
              <w:rPr>
                <w:rFonts w:hint="eastAsia" w:eastAsia="宋体" w:cs="Times New Roman"/>
                <w:color w:val="auto"/>
              </w:rPr>
              <w:t>内容</w:t>
            </w:r>
          </w:p>
        </w:tc>
      </w:tr>
      <w:tr w14:paraId="3BAEB2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86" w:type="pct"/>
            <w:noWrap w:val="0"/>
            <w:vAlign w:val="center"/>
          </w:tcPr>
          <w:p w14:paraId="2DC364E0">
            <w:pPr>
              <w:pStyle w:val="61"/>
              <w:spacing w:line="240" w:lineRule="auto"/>
              <w:jc w:val="center"/>
              <w:rPr>
                <w:rFonts w:hint="eastAsia" w:eastAsia="宋体" w:cs="Times New Roman"/>
                <w:color w:val="auto"/>
              </w:rPr>
            </w:pPr>
            <w:r>
              <w:rPr>
                <w:rFonts w:hint="eastAsia" w:eastAsia="宋体" w:cs="Times New Roman"/>
                <w:color w:val="auto"/>
              </w:rPr>
              <w:t>1</w:t>
            </w:r>
          </w:p>
        </w:tc>
        <w:tc>
          <w:tcPr>
            <w:tcW w:w="4613" w:type="pct"/>
            <w:noWrap w:val="0"/>
            <w:vAlign w:val="top"/>
          </w:tcPr>
          <w:p w14:paraId="3E0063B6">
            <w:pPr>
              <w:pStyle w:val="61"/>
              <w:spacing w:line="240" w:lineRule="auto"/>
              <w:jc w:val="left"/>
              <w:rPr>
                <w:rFonts w:hint="eastAsia" w:eastAsia="宋体" w:cs="Times New Roman"/>
                <w:color w:val="auto"/>
              </w:rPr>
            </w:pPr>
            <w:r>
              <w:rPr>
                <w:rFonts w:hint="eastAsia" w:eastAsia="宋体" w:cs="Times New Roman"/>
                <w:color w:val="auto"/>
              </w:rPr>
              <w:t>施工方案应建立推广、限制、淘汰公布制度和管理办法。发展适合绿色施工的资源利用与环境保护技术，对落后的施工方案进行限制或淘汰，鼓励绿色施工技术的发展，推动绿色施工技术的创新。</w:t>
            </w:r>
          </w:p>
        </w:tc>
      </w:tr>
      <w:tr w14:paraId="2496DF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86" w:type="pct"/>
            <w:noWrap w:val="0"/>
            <w:vAlign w:val="center"/>
          </w:tcPr>
          <w:p w14:paraId="6EA2D051">
            <w:pPr>
              <w:pStyle w:val="61"/>
              <w:spacing w:line="240" w:lineRule="auto"/>
              <w:jc w:val="center"/>
              <w:rPr>
                <w:rFonts w:hint="eastAsia" w:eastAsia="宋体" w:cs="Times New Roman"/>
                <w:color w:val="auto"/>
              </w:rPr>
            </w:pPr>
            <w:r>
              <w:rPr>
                <w:rFonts w:hint="eastAsia" w:eastAsia="宋体" w:cs="Times New Roman"/>
                <w:color w:val="auto"/>
              </w:rPr>
              <w:t>2</w:t>
            </w:r>
          </w:p>
        </w:tc>
        <w:tc>
          <w:tcPr>
            <w:tcW w:w="4613" w:type="pct"/>
            <w:noWrap w:val="0"/>
            <w:vAlign w:val="top"/>
          </w:tcPr>
          <w:p w14:paraId="4F1E207B">
            <w:pPr>
              <w:pStyle w:val="61"/>
              <w:spacing w:line="240" w:lineRule="auto"/>
              <w:jc w:val="left"/>
              <w:rPr>
                <w:rFonts w:hint="eastAsia" w:eastAsia="宋体" w:cs="Times New Roman"/>
                <w:color w:val="auto"/>
              </w:rPr>
            </w:pPr>
            <w:r>
              <w:rPr>
                <w:rFonts w:hint="eastAsia" w:eastAsia="宋体" w:cs="Times New Roman"/>
                <w:color w:val="auto"/>
              </w:rPr>
              <w:t>大力发展现场监测技术、低噪音的施工技术、现场环境参数检测技术、自密实混凝土施工技术、清水混凝土施工技术、建筑固体废弃物再生产品在墙体材料中的应用技术、新型模板及脚手架技术的研究与应用。</w:t>
            </w:r>
          </w:p>
        </w:tc>
      </w:tr>
      <w:tr w14:paraId="17A55C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386" w:type="pct"/>
            <w:noWrap w:val="0"/>
            <w:vAlign w:val="center"/>
          </w:tcPr>
          <w:p w14:paraId="05F32941">
            <w:pPr>
              <w:pStyle w:val="61"/>
              <w:spacing w:line="240" w:lineRule="auto"/>
              <w:jc w:val="center"/>
              <w:rPr>
                <w:rFonts w:hint="eastAsia" w:eastAsia="宋体" w:cs="Times New Roman"/>
                <w:color w:val="auto"/>
              </w:rPr>
            </w:pPr>
            <w:r>
              <w:rPr>
                <w:rFonts w:hint="eastAsia" w:eastAsia="宋体" w:cs="Times New Roman"/>
                <w:color w:val="auto"/>
              </w:rPr>
              <w:t>3</w:t>
            </w:r>
          </w:p>
        </w:tc>
        <w:tc>
          <w:tcPr>
            <w:tcW w:w="4613" w:type="pct"/>
            <w:noWrap w:val="0"/>
            <w:vAlign w:val="top"/>
          </w:tcPr>
          <w:p w14:paraId="0578F164">
            <w:pPr>
              <w:pStyle w:val="61"/>
              <w:spacing w:line="240" w:lineRule="auto"/>
              <w:jc w:val="left"/>
              <w:rPr>
                <w:rFonts w:hint="eastAsia" w:eastAsia="宋体" w:cs="Times New Roman"/>
                <w:color w:val="auto"/>
              </w:rPr>
            </w:pPr>
            <w:r>
              <w:rPr>
                <w:rFonts w:hint="eastAsia" w:eastAsia="宋体" w:cs="Times New Roman"/>
                <w:color w:val="auto"/>
              </w:rPr>
              <w:t>加强信息技术应用，如绿色施工的虚拟现实技术、三维建筑模型的工程量自动统计、绿色施工组织设计数据库建立与应用系统、数字化工地、基于电子商务的建筑工程材料、设备与物流管理系统等。通过应用信息技术，进行精密规划、设计、精心建造和优化集成，实现与提高绿色施工的各项指标。</w:t>
            </w:r>
          </w:p>
        </w:tc>
      </w:tr>
    </w:tbl>
    <w:p w14:paraId="3773C5E3">
      <w:pPr>
        <w:pStyle w:val="4"/>
        <w:rPr>
          <w:color w:val="auto"/>
          <w:sz w:val="24"/>
          <w:szCs w:val="24"/>
        </w:rPr>
      </w:pPr>
      <w:bookmarkStart w:id="37" w:name="_Toc16740"/>
      <w:r>
        <w:rPr>
          <w:rFonts w:hint="eastAsia"/>
          <w:color w:val="auto"/>
          <w:sz w:val="24"/>
          <w:szCs w:val="24"/>
        </w:rPr>
        <w:t>绿色施工</w:t>
      </w:r>
      <w:r>
        <w:rPr>
          <w:rFonts w:hint="eastAsia"/>
          <w:color w:val="auto"/>
          <w:sz w:val="24"/>
          <w:szCs w:val="24"/>
          <w:lang w:val="en-US" w:eastAsia="zh-CN"/>
        </w:rPr>
        <w:t>控制</w:t>
      </w:r>
      <w:r>
        <w:rPr>
          <w:rFonts w:hint="eastAsia"/>
          <w:color w:val="auto"/>
          <w:sz w:val="24"/>
          <w:szCs w:val="24"/>
        </w:rPr>
        <w:t>指标</w:t>
      </w:r>
      <w:bookmarkEnd w:id="37"/>
    </w:p>
    <w:p w14:paraId="368F7B03">
      <w:pPr>
        <w:pStyle w:val="77"/>
        <w:snapToGrid/>
        <w:spacing w:before="24" w:beforeLines="10" w:after="24" w:afterLines="10" w:line="432" w:lineRule="auto"/>
        <w:rPr>
          <w:rFonts w:hint="eastAsia"/>
          <w:color w:val="auto"/>
          <w:sz w:val="24"/>
          <w:szCs w:val="24"/>
          <w:lang w:eastAsia="zh-TW"/>
        </w:rPr>
      </w:pPr>
      <w:r>
        <w:rPr>
          <w:rFonts w:hint="eastAsia"/>
          <w:color w:val="auto"/>
          <w:sz w:val="24"/>
          <w:szCs w:val="24"/>
        </w:rPr>
        <w:t xml:space="preserve">插表 </w:t>
      </w:r>
      <w:r>
        <w:rPr>
          <w:rFonts w:hint="eastAsia"/>
          <w:color w:val="auto"/>
          <w:sz w:val="24"/>
          <w:szCs w:val="24"/>
          <w:lang w:eastAsia="zh-TW"/>
        </w:rPr>
        <w:t>绿色施工</w:t>
      </w:r>
      <w:r>
        <w:rPr>
          <w:rFonts w:hint="eastAsia"/>
          <w:color w:val="auto"/>
          <w:sz w:val="24"/>
          <w:szCs w:val="24"/>
          <w:lang w:val="en-US" w:eastAsia="zh-CN"/>
        </w:rPr>
        <w:t>控制</w:t>
      </w:r>
      <w:r>
        <w:rPr>
          <w:rFonts w:hint="eastAsia"/>
          <w:color w:val="auto"/>
          <w:sz w:val="24"/>
          <w:szCs w:val="24"/>
          <w:lang w:eastAsia="zh-TW"/>
        </w:rPr>
        <w:t>指标</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20"/>
        <w:gridCol w:w="1208"/>
        <w:gridCol w:w="7398"/>
      </w:tblGrid>
      <w:tr w14:paraId="42C3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blHeader/>
          <w:jc w:val="center"/>
        </w:trPr>
        <w:tc>
          <w:tcPr>
            <w:tcW w:w="285" w:type="pct"/>
            <w:noWrap w:val="0"/>
            <w:vAlign w:val="center"/>
          </w:tcPr>
          <w:p w14:paraId="3A332391">
            <w:pPr>
              <w:pStyle w:val="61"/>
              <w:spacing w:line="240" w:lineRule="auto"/>
              <w:rPr>
                <w:rFonts w:hint="eastAsia" w:eastAsia="宋体" w:cs="Times New Roman"/>
                <w:color w:val="auto"/>
              </w:rPr>
            </w:pPr>
            <w:r>
              <w:rPr>
                <w:rFonts w:hint="eastAsia" w:eastAsia="宋体" w:cs="Times New Roman"/>
                <w:color w:val="auto"/>
              </w:rPr>
              <w:t>序号</w:t>
            </w:r>
          </w:p>
        </w:tc>
        <w:tc>
          <w:tcPr>
            <w:tcW w:w="662" w:type="pct"/>
            <w:noWrap w:val="0"/>
            <w:vAlign w:val="center"/>
          </w:tcPr>
          <w:p w14:paraId="208DF670">
            <w:pPr>
              <w:pStyle w:val="61"/>
              <w:spacing w:line="240" w:lineRule="auto"/>
              <w:rPr>
                <w:rFonts w:hint="eastAsia" w:eastAsia="宋体" w:cs="Times New Roman"/>
                <w:color w:val="auto"/>
              </w:rPr>
            </w:pPr>
            <w:r>
              <w:rPr>
                <w:rFonts w:hint="eastAsia" w:eastAsia="宋体" w:cs="Times New Roman"/>
                <w:color w:val="auto"/>
              </w:rPr>
              <w:t>指标</w:t>
            </w:r>
          </w:p>
        </w:tc>
        <w:tc>
          <w:tcPr>
            <w:tcW w:w="4053" w:type="pct"/>
            <w:noWrap w:val="0"/>
            <w:vAlign w:val="center"/>
          </w:tcPr>
          <w:p w14:paraId="17005B64">
            <w:pPr>
              <w:pStyle w:val="61"/>
              <w:spacing w:line="240" w:lineRule="auto"/>
              <w:rPr>
                <w:rFonts w:hint="eastAsia" w:eastAsia="宋体" w:cs="Times New Roman"/>
                <w:color w:val="auto"/>
              </w:rPr>
            </w:pPr>
            <w:r>
              <w:rPr>
                <w:rFonts w:hint="eastAsia" w:eastAsia="宋体" w:cs="Times New Roman"/>
                <w:color w:val="auto"/>
              </w:rPr>
              <w:t>内容</w:t>
            </w:r>
          </w:p>
        </w:tc>
      </w:tr>
      <w:tr w14:paraId="35FF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85" w:type="pct"/>
            <w:noWrap w:val="0"/>
            <w:vAlign w:val="center"/>
          </w:tcPr>
          <w:p w14:paraId="00B2FAE0">
            <w:pPr>
              <w:pStyle w:val="61"/>
              <w:spacing w:line="240" w:lineRule="auto"/>
              <w:rPr>
                <w:rFonts w:hint="eastAsia" w:eastAsia="宋体" w:cs="Times New Roman"/>
                <w:color w:val="auto"/>
              </w:rPr>
            </w:pPr>
            <w:r>
              <w:rPr>
                <w:rFonts w:hint="eastAsia" w:eastAsia="宋体" w:cs="Times New Roman"/>
                <w:color w:val="auto"/>
              </w:rPr>
              <w:t>1</w:t>
            </w:r>
          </w:p>
        </w:tc>
        <w:tc>
          <w:tcPr>
            <w:tcW w:w="662" w:type="pct"/>
            <w:noWrap w:val="0"/>
            <w:vAlign w:val="center"/>
          </w:tcPr>
          <w:p w14:paraId="5AAE7292">
            <w:pPr>
              <w:pStyle w:val="61"/>
              <w:spacing w:line="240" w:lineRule="auto"/>
              <w:rPr>
                <w:rFonts w:hint="eastAsia" w:eastAsia="宋体" w:cs="Times New Roman"/>
                <w:color w:val="auto"/>
              </w:rPr>
            </w:pPr>
            <w:r>
              <w:rPr>
                <w:rFonts w:hint="eastAsia" w:eastAsia="宋体" w:cs="Times New Roman"/>
                <w:color w:val="auto"/>
              </w:rPr>
              <w:t>噪声</w:t>
            </w:r>
          </w:p>
        </w:tc>
        <w:tc>
          <w:tcPr>
            <w:tcW w:w="4053" w:type="pct"/>
            <w:noWrap w:val="0"/>
            <w:vAlign w:val="center"/>
          </w:tcPr>
          <w:p w14:paraId="25C76677">
            <w:pPr>
              <w:pStyle w:val="61"/>
              <w:spacing w:line="240" w:lineRule="auto"/>
              <w:jc w:val="left"/>
              <w:rPr>
                <w:rFonts w:hint="eastAsia" w:eastAsia="宋体" w:cs="Times New Roman"/>
                <w:color w:val="auto"/>
              </w:rPr>
            </w:pPr>
            <w:r>
              <w:rPr>
                <w:rFonts w:hint="eastAsia" w:eastAsia="宋体" w:cs="Times New Roman"/>
                <w:color w:val="auto"/>
              </w:rPr>
              <w:t>昼间噪声限值是70dB(A),夜间噪声限值是55dB(A)。</w:t>
            </w:r>
          </w:p>
        </w:tc>
      </w:tr>
      <w:tr w14:paraId="0AAA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85" w:type="pct"/>
            <w:noWrap w:val="0"/>
            <w:vAlign w:val="center"/>
          </w:tcPr>
          <w:p w14:paraId="1DDFAF77">
            <w:pPr>
              <w:pStyle w:val="61"/>
              <w:spacing w:line="240" w:lineRule="auto"/>
              <w:rPr>
                <w:rFonts w:hint="eastAsia" w:eastAsia="宋体" w:cs="Times New Roman"/>
                <w:color w:val="auto"/>
              </w:rPr>
            </w:pPr>
            <w:r>
              <w:rPr>
                <w:rFonts w:hint="eastAsia" w:eastAsia="宋体" w:cs="Times New Roman"/>
                <w:color w:val="auto"/>
              </w:rPr>
              <w:t>2</w:t>
            </w:r>
          </w:p>
        </w:tc>
        <w:tc>
          <w:tcPr>
            <w:tcW w:w="662" w:type="pct"/>
            <w:noWrap w:val="0"/>
            <w:vAlign w:val="center"/>
          </w:tcPr>
          <w:p w14:paraId="502E682A">
            <w:pPr>
              <w:pStyle w:val="61"/>
              <w:spacing w:line="240" w:lineRule="auto"/>
              <w:rPr>
                <w:rFonts w:hint="eastAsia" w:eastAsia="宋体" w:cs="Times New Roman"/>
                <w:color w:val="auto"/>
              </w:rPr>
            </w:pPr>
            <w:r>
              <w:rPr>
                <w:rFonts w:hint="eastAsia" w:eastAsia="宋体" w:cs="Times New Roman"/>
                <w:color w:val="auto"/>
              </w:rPr>
              <w:t>粉尘</w:t>
            </w:r>
          </w:p>
        </w:tc>
        <w:tc>
          <w:tcPr>
            <w:tcW w:w="4053" w:type="pct"/>
            <w:noWrap w:val="0"/>
            <w:vAlign w:val="center"/>
          </w:tcPr>
          <w:p w14:paraId="0997AD6E">
            <w:pPr>
              <w:pStyle w:val="61"/>
              <w:spacing w:line="240" w:lineRule="auto"/>
              <w:jc w:val="left"/>
              <w:rPr>
                <w:rFonts w:hint="eastAsia" w:eastAsia="宋体" w:cs="Times New Roman"/>
                <w:color w:val="auto"/>
              </w:rPr>
            </w:pPr>
            <w:r>
              <w:rPr>
                <w:rFonts w:hint="eastAsia" w:eastAsia="宋体" w:cs="Times New Roman"/>
                <w:color w:val="auto"/>
              </w:rPr>
              <w:t>作业区目测扬尘高度小于1.5m，不扩散到场区外。在场界四周隔档高度位置测得的大气总悬浮颗粒物（TSP）月平均浓度与城市背景值的差值不大0.08mg/m³</w:t>
            </w:r>
          </w:p>
        </w:tc>
      </w:tr>
      <w:tr w14:paraId="62A5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85" w:type="pct"/>
            <w:noWrap w:val="0"/>
            <w:vAlign w:val="center"/>
          </w:tcPr>
          <w:p w14:paraId="6CCBBECD">
            <w:pPr>
              <w:pStyle w:val="61"/>
              <w:spacing w:line="240" w:lineRule="auto"/>
              <w:rPr>
                <w:rFonts w:hint="eastAsia" w:eastAsia="宋体" w:cs="Times New Roman"/>
                <w:color w:val="auto"/>
              </w:rPr>
            </w:pPr>
            <w:r>
              <w:rPr>
                <w:rFonts w:hint="eastAsia" w:eastAsia="宋体" w:cs="Times New Roman"/>
                <w:color w:val="auto"/>
              </w:rPr>
              <w:t>3</w:t>
            </w:r>
          </w:p>
        </w:tc>
        <w:tc>
          <w:tcPr>
            <w:tcW w:w="662" w:type="pct"/>
            <w:noWrap w:val="0"/>
            <w:vAlign w:val="center"/>
          </w:tcPr>
          <w:p w14:paraId="704B7AFF">
            <w:pPr>
              <w:pStyle w:val="61"/>
              <w:spacing w:line="240" w:lineRule="auto"/>
              <w:rPr>
                <w:rFonts w:hint="eastAsia" w:eastAsia="宋体" w:cs="Times New Roman"/>
                <w:color w:val="auto"/>
              </w:rPr>
            </w:pPr>
            <w:r>
              <w:rPr>
                <w:rFonts w:hint="eastAsia" w:eastAsia="宋体" w:cs="Times New Roman"/>
                <w:color w:val="auto"/>
              </w:rPr>
              <w:t>固体废弃物</w:t>
            </w:r>
          </w:p>
        </w:tc>
        <w:tc>
          <w:tcPr>
            <w:tcW w:w="4053" w:type="pct"/>
            <w:noWrap w:val="0"/>
            <w:vAlign w:val="center"/>
          </w:tcPr>
          <w:p w14:paraId="7C5B4EE5">
            <w:pPr>
              <w:pStyle w:val="61"/>
              <w:spacing w:line="240" w:lineRule="auto"/>
              <w:jc w:val="left"/>
              <w:rPr>
                <w:rFonts w:hint="eastAsia" w:eastAsia="宋体" w:cs="Times New Roman"/>
                <w:color w:val="auto"/>
              </w:rPr>
            </w:pPr>
            <w:r>
              <w:rPr>
                <w:rFonts w:hint="eastAsia" w:eastAsia="宋体" w:cs="Times New Roman"/>
                <w:color w:val="auto"/>
              </w:rPr>
              <w:t>制定建筑垃圾减量化计划，使每万平方米的建筑垃圾不超过400吨。加强建筑垃圾的回收再利用，使建筑垃圾的再利用和回收率达到40%，建筑物拆除产生的废弃物的再利用和回收率大于40%。对于碎石类、土石方类建筑垃圾，可采用地基填埋、铺路等方式提高再利用率，力争再利用率大于60%。</w:t>
            </w:r>
          </w:p>
          <w:p w14:paraId="3F49DE35">
            <w:pPr>
              <w:pStyle w:val="61"/>
              <w:spacing w:line="240" w:lineRule="auto"/>
              <w:jc w:val="left"/>
              <w:rPr>
                <w:rFonts w:hint="eastAsia" w:eastAsia="宋体" w:cs="Times New Roman"/>
                <w:color w:val="auto"/>
              </w:rPr>
            </w:pPr>
            <w:r>
              <w:rPr>
                <w:rFonts w:hint="eastAsia" w:eastAsia="宋体" w:cs="Times New Roman"/>
                <w:color w:val="auto"/>
              </w:rPr>
              <w:t>施工现场生活区设置封闭式垃圾容器，施工场地生活垃圾实行袋装化，及时清运。对建筑垃圾进行分类，并收集到现场封闭式垃圾站，集中运出。</w:t>
            </w:r>
          </w:p>
        </w:tc>
      </w:tr>
      <w:tr w14:paraId="2CC5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85" w:type="pct"/>
            <w:noWrap w:val="0"/>
            <w:vAlign w:val="center"/>
          </w:tcPr>
          <w:p w14:paraId="2A72E6D9">
            <w:pPr>
              <w:pStyle w:val="61"/>
              <w:spacing w:line="240" w:lineRule="auto"/>
              <w:rPr>
                <w:rFonts w:hint="eastAsia" w:eastAsia="宋体" w:cs="Times New Roman"/>
                <w:color w:val="auto"/>
              </w:rPr>
            </w:pPr>
            <w:r>
              <w:rPr>
                <w:rFonts w:hint="eastAsia" w:eastAsia="宋体" w:cs="Times New Roman"/>
                <w:color w:val="auto"/>
              </w:rPr>
              <w:t>4</w:t>
            </w:r>
          </w:p>
        </w:tc>
        <w:tc>
          <w:tcPr>
            <w:tcW w:w="662" w:type="pct"/>
            <w:noWrap w:val="0"/>
            <w:vAlign w:val="center"/>
          </w:tcPr>
          <w:p w14:paraId="0C99DF50">
            <w:pPr>
              <w:pStyle w:val="61"/>
              <w:spacing w:line="240" w:lineRule="auto"/>
              <w:rPr>
                <w:rFonts w:hint="eastAsia" w:eastAsia="宋体" w:cs="Times New Roman"/>
                <w:color w:val="auto"/>
              </w:rPr>
            </w:pPr>
            <w:r>
              <w:rPr>
                <w:rFonts w:hint="eastAsia" w:eastAsia="宋体" w:cs="Times New Roman"/>
                <w:color w:val="auto"/>
              </w:rPr>
              <w:t>污水</w:t>
            </w:r>
          </w:p>
        </w:tc>
        <w:tc>
          <w:tcPr>
            <w:tcW w:w="4053" w:type="pct"/>
            <w:noWrap w:val="0"/>
            <w:vAlign w:val="center"/>
          </w:tcPr>
          <w:p w14:paraId="6BF33AB3">
            <w:pPr>
              <w:pStyle w:val="61"/>
              <w:spacing w:line="240" w:lineRule="auto"/>
              <w:jc w:val="left"/>
              <w:rPr>
                <w:rFonts w:hint="eastAsia" w:eastAsia="宋体" w:cs="Times New Roman"/>
                <w:color w:val="auto"/>
              </w:rPr>
            </w:pPr>
            <w:r>
              <w:rPr>
                <w:rFonts w:hint="eastAsia" w:eastAsia="宋体" w:cs="Times New Roman"/>
                <w:color w:val="auto"/>
              </w:rPr>
              <w:t>生产及生活污水排放达标，符合《污水综合排放标准》GB8978规定。</w:t>
            </w:r>
          </w:p>
        </w:tc>
      </w:tr>
      <w:tr w14:paraId="7F02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jc w:val="center"/>
        </w:trPr>
        <w:tc>
          <w:tcPr>
            <w:tcW w:w="285" w:type="pct"/>
            <w:noWrap w:val="0"/>
            <w:vAlign w:val="center"/>
          </w:tcPr>
          <w:p w14:paraId="3DA1CC86">
            <w:pPr>
              <w:pStyle w:val="61"/>
              <w:spacing w:line="240" w:lineRule="auto"/>
              <w:rPr>
                <w:rFonts w:hint="eastAsia" w:eastAsia="宋体" w:cs="Times New Roman"/>
                <w:color w:val="auto"/>
              </w:rPr>
            </w:pPr>
            <w:r>
              <w:rPr>
                <w:rFonts w:hint="eastAsia" w:eastAsia="宋体" w:cs="Times New Roman"/>
                <w:color w:val="auto"/>
              </w:rPr>
              <w:t>5</w:t>
            </w:r>
          </w:p>
        </w:tc>
        <w:tc>
          <w:tcPr>
            <w:tcW w:w="662" w:type="pct"/>
            <w:noWrap w:val="0"/>
            <w:vAlign w:val="center"/>
          </w:tcPr>
          <w:p w14:paraId="3D2ADF69">
            <w:pPr>
              <w:pStyle w:val="61"/>
              <w:spacing w:line="240" w:lineRule="auto"/>
              <w:rPr>
                <w:rFonts w:hint="eastAsia" w:eastAsia="宋体" w:cs="Times New Roman"/>
                <w:color w:val="auto"/>
              </w:rPr>
            </w:pPr>
            <w:r>
              <w:rPr>
                <w:rFonts w:hint="eastAsia" w:eastAsia="宋体" w:cs="Times New Roman"/>
                <w:color w:val="auto"/>
              </w:rPr>
              <w:t>资源</w:t>
            </w:r>
          </w:p>
        </w:tc>
        <w:tc>
          <w:tcPr>
            <w:tcW w:w="4053" w:type="pct"/>
            <w:noWrap w:val="0"/>
            <w:vAlign w:val="center"/>
          </w:tcPr>
          <w:p w14:paraId="49040852">
            <w:pPr>
              <w:pStyle w:val="61"/>
              <w:spacing w:line="240" w:lineRule="auto"/>
              <w:jc w:val="left"/>
              <w:rPr>
                <w:rFonts w:hint="eastAsia" w:eastAsia="宋体" w:cs="Times New Roman"/>
                <w:color w:val="auto"/>
              </w:rPr>
            </w:pPr>
            <w:r>
              <w:rPr>
                <w:rFonts w:hint="eastAsia" w:eastAsia="宋体" w:cs="Times New Roman"/>
                <w:color w:val="auto"/>
              </w:rPr>
              <w:t>控制水电、纸张、材料等资源消耗，施工垃圾分类处理，尽量回收利用。</w:t>
            </w:r>
          </w:p>
        </w:tc>
      </w:tr>
    </w:tbl>
    <w:p w14:paraId="12538A7D">
      <w:pPr>
        <w:pStyle w:val="4"/>
        <w:ind w:firstLine="0"/>
        <w:rPr>
          <w:rFonts w:hint="eastAsia"/>
          <w:color w:val="auto"/>
        </w:rPr>
      </w:pPr>
      <w:bookmarkStart w:id="38" w:name="_Toc23757"/>
      <w:r>
        <w:rPr>
          <w:rFonts w:hint="eastAsia"/>
          <w:color w:val="auto"/>
        </w:rPr>
        <w:t>绿色施工实施管理</w:t>
      </w:r>
      <w:bookmarkEnd w:id="38"/>
    </w:p>
    <w:p w14:paraId="20F91C0D">
      <w:pPr>
        <w:ind w:firstLine="480"/>
        <w:rPr>
          <w:rFonts w:hint="eastAsia"/>
          <w:color w:val="auto"/>
        </w:rPr>
      </w:pPr>
      <w:r>
        <w:rPr>
          <w:rFonts w:hint="eastAsia"/>
          <w:color w:val="auto"/>
        </w:rPr>
        <w:t>通过对项目部管理人员及全体施工人员的教育和培训，增强全体人员的绿色施工意识，加强对绿色建筑的认知，共同实现项目绿色建筑目标。</w:t>
      </w:r>
    </w:p>
    <w:p w14:paraId="6D258F71">
      <w:pPr>
        <w:ind w:firstLine="480"/>
        <w:rPr>
          <w:rFonts w:hint="eastAsia"/>
          <w:color w:val="auto"/>
        </w:rPr>
      </w:pPr>
      <w:r>
        <w:rPr>
          <w:rFonts w:hint="eastAsia"/>
          <w:color w:val="auto"/>
        </w:rPr>
        <w:t>1、绿色施工培训要求</w:t>
      </w:r>
    </w:p>
    <w:p w14:paraId="7C67B934">
      <w:pPr>
        <w:pStyle w:val="65"/>
        <w:rPr>
          <w:rFonts w:hint="eastAsia"/>
          <w:color w:val="auto"/>
        </w:rPr>
      </w:pPr>
      <w:r>
        <w:rPr>
          <w:rFonts w:hint="eastAsia"/>
          <w:color w:val="auto"/>
        </w:rPr>
        <w:t xml:space="preserve"> 绿色施工培训要求</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8452"/>
      </w:tblGrid>
      <w:tr w14:paraId="7130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4BCE3CB">
            <w:pPr>
              <w:spacing w:line="240" w:lineRule="auto"/>
              <w:ind w:firstLine="0" w:firstLineChars="0"/>
              <w:jc w:val="center"/>
              <w:rPr>
                <w:rFonts w:hint="eastAsia"/>
                <w:color w:val="auto"/>
                <w:sz w:val="21"/>
                <w:szCs w:val="21"/>
              </w:rPr>
            </w:pPr>
            <w:r>
              <w:rPr>
                <w:rFonts w:hint="eastAsia"/>
                <w:color w:val="auto"/>
                <w:sz w:val="21"/>
                <w:szCs w:val="21"/>
              </w:rPr>
              <w:t>序号</w:t>
            </w:r>
          </w:p>
        </w:tc>
        <w:tc>
          <w:tcPr>
            <w:tcW w:w="4551" w:type="pct"/>
            <w:tcBorders>
              <w:top w:val="single" w:color="auto" w:sz="4" w:space="0"/>
              <w:left w:val="nil"/>
              <w:bottom w:val="single" w:color="auto" w:sz="4" w:space="0"/>
              <w:right w:val="single" w:color="auto" w:sz="4" w:space="0"/>
            </w:tcBorders>
            <w:noWrap w:val="0"/>
            <w:vAlign w:val="center"/>
          </w:tcPr>
          <w:p w14:paraId="07BFA571">
            <w:pPr>
              <w:spacing w:line="240" w:lineRule="auto"/>
              <w:ind w:firstLine="0" w:firstLineChars="0"/>
              <w:jc w:val="center"/>
              <w:rPr>
                <w:rFonts w:hint="eastAsia"/>
                <w:color w:val="auto"/>
                <w:sz w:val="21"/>
                <w:szCs w:val="21"/>
              </w:rPr>
            </w:pPr>
            <w:r>
              <w:rPr>
                <w:rFonts w:hint="eastAsia"/>
                <w:color w:val="auto"/>
                <w:sz w:val="21"/>
                <w:szCs w:val="21"/>
              </w:rPr>
              <w:t>具体措施</w:t>
            </w:r>
          </w:p>
        </w:tc>
      </w:tr>
      <w:tr w14:paraId="1649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7BFE733">
            <w:pPr>
              <w:spacing w:line="240" w:lineRule="auto"/>
              <w:ind w:firstLine="0" w:firstLineChars="0"/>
              <w:jc w:val="center"/>
              <w:rPr>
                <w:rFonts w:hint="eastAsia"/>
                <w:color w:val="auto"/>
                <w:sz w:val="21"/>
                <w:szCs w:val="21"/>
              </w:rPr>
            </w:pPr>
            <w:r>
              <w:rPr>
                <w:rFonts w:hint="eastAsia"/>
                <w:color w:val="auto"/>
                <w:sz w:val="21"/>
                <w:szCs w:val="21"/>
              </w:rPr>
              <w:t>1</w:t>
            </w:r>
          </w:p>
        </w:tc>
        <w:tc>
          <w:tcPr>
            <w:tcW w:w="4551" w:type="pct"/>
            <w:tcBorders>
              <w:top w:val="single" w:color="auto" w:sz="4" w:space="0"/>
              <w:left w:val="nil"/>
              <w:bottom w:val="single" w:color="auto" w:sz="4" w:space="0"/>
              <w:right w:val="single" w:color="auto" w:sz="4" w:space="0"/>
            </w:tcBorders>
            <w:noWrap w:val="0"/>
            <w:vAlign w:val="center"/>
          </w:tcPr>
          <w:p w14:paraId="3EF00449">
            <w:pPr>
              <w:spacing w:line="240" w:lineRule="auto"/>
              <w:ind w:firstLine="420"/>
              <w:rPr>
                <w:rFonts w:hint="eastAsia"/>
                <w:color w:val="auto"/>
                <w:sz w:val="21"/>
                <w:szCs w:val="21"/>
              </w:rPr>
            </w:pPr>
            <w:r>
              <w:rPr>
                <w:rFonts w:hint="eastAsia"/>
                <w:color w:val="auto"/>
                <w:sz w:val="21"/>
                <w:szCs w:val="21"/>
              </w:rPr>
              <w:t>在项目施工过程中，加大“绿色施工”的教育力度，增强全员“绿色施工”的意识，提高全员综合素质，具体每季度在管理层内部组织开展一次“绿色施工”宣传及总结分析会议，再将会议精神传达到每个施工从业人员，使每个施工者和管理者都能从自身做起，自觉爱护施工现场的一草一木，节约用水、用电、用纸，不乱扔废弃物，保持现场环境整洁，这是实现“绿色施工”的基础。</w:t>
            </w:r>
          </w:p>
        </w:tc>
      </w:tr>
      <w:tr w14:paraId="6E9E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5A05207">
            <w:pPr>
              <w:spacing w:line="240" w:lineRule="auto"/>
              <w:ind w:firstLine="0" w:firstLineChars="0"/>
              <w:jc w:val="center"/>
              <w:rPr>
                <w:rFonts w:hint="eastAsia"/>
                <w:color w:val="auto"/>
                <w:sz w:val="21"/>
                <w:szCs w:val="21"/>
              </w:rPr>
            </w:pPr>
            <w:r>
              <w:rPr>
                <w:rFonts w:hint="eastAsia"/>
                <w:color w:val="auto"/>
                <w:sz w:val="21"/>
                <w:szCs w:val="21"/>
              </w:rPr>
              <w:t>2</w:t>
            </w:r>
          </w:p>
        </w:tc>
        <w:tc>
          <w:tcPr>
            <w:tcW w:w="4551" w:type="pct"/>
            <w:tcBorders>
              <w:top w:val="single" w:color="auto" w:sz="4" w:space="0"/>
              <w:left w:val="nil"/>
              <w:bottom w:val="single" w:color="auto" w:sz="4" w:space="0"/>
              <w:right w:val="single" w:color="auto" w:sz="4" w:space="0"/>
            </w:tcBorders>
            <w:noWrap w:val="0"/>
            <w:vAlign w:val="center"/>
          </w:tcPr>
          <w:p w14:paraId="7C8F6889">
            <w:pPr>
              <w:spacing w:line="240" w:lineRule="auto"/>
              <w:ind w:firstLine="420"/>
              <w:rPr>
                <w:rFonts w:hint="eastAsia"/>
                <w:color w:val="auto"/>
                <w:sz w:val="21"/>
                <w:szCs w:val="21"/>
              </w:rPr>
            </w:pPr>
            <w:r>
              <w:rPr>
                <w:rFonts w:hint="eastAsia"/>
                <w:color w:val="auto"/>
                <w:sz w:val="21"/>
                <w:szCs w:val="21"/>
              </w:rPr>
              <w:t>施工现场的所有人员（包括各分包单位的从业人员）必须按要求由项目部对其进行绿色施工教育、培训和考核，宣传教育每月组织一次，培训和考核在主体施工阶段为每季度进行一次，装修阶段有新的专业队伍进场均对其进行单独的培训、交底和考核，只有经过教育培训并且通过考核的人员才能上岗。</w:t>
            </w:r>
          </w:p>
        </w:tc>
      </w:tr>
      <w:tr w14:paraId="7F50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D5A9F29">
            <w:pPr>
              <w:spacing w:line="240" w:lineRule="auto"/>
              <w:ind w:firstLine="0" w:firstLineChars="0"/>
              <w:jc w:val="center"/>
              <w:rPr>
                <w:rFonts w:hint="eastAsia"/>
                <w:color w:val="auto"/>
                <w:sz w:val="21"/>
                <w:szCs w:val="21"/>
              </w:rPr>
            </w:pPr>
            <w:r>
              <w:rPr>
                <w:rFonts w:hint="eastAsia"/>
                <w:color w:val="auto"/>
                <w:sz w:val="21"/>
                <w:szCs w:val="21"/>
              </w:rPr>
              <w:t>3</w:t>
            </w:r>
          </w:p>
        </w:tc>
        <w:tc>
          <w:tcPr>
            <w:tcW w:w="4551" w:type="pct"/>
            <w:tcBorders>
              <w:top w:val="single" w:color="auto" w:sz="4" w:space="0"/>
              <w:left w:val="nil"/>
              <w:bottom w:val="single" w:color="auto" w:sz="4" w:space="0"/>
              <w:right w:val="single" w:color="auto" w:sz="4" w:space="0"/>
            </w:tcBorders>
            <w:noWrap w:val="0"/>
            <w:vAlign w:val="center"/>
          </w:tcPr>
          <w:p w14:paraId="165D00F5">
            <w:pPr>
              <w:spacing w:line="240" w:lineRule="auto"/>
              <w:ind w:firstLine="420"/>
              <w:rPr>
                <w:rFonts w:hint="eastAsia"/>
                <w:color w:val="auto"/>
                <w:sz w:val="21"/>
                <w:szCs w:val="21"/>
              </w:rPr>
            </w:pPr>
            <w:r>
              <w:rPr>
                <w:rFonts w:hint="eastAsia"/>
                <w:color w:val="auto"/>
                <w:sz w:val="21"/>
                <w:szCs w:val="21"/>
              </w:rPr>
              <w:t>按等级、层次和工作性质分别进行教育和培训，管理人员的重点是加强节约成本意识和提高施工管理水平，操作者的重点是加强节约成本意识和培养节约习惯。</w:t>
            </w:r>
          </w:p>
        </w:tc>
      </w:tr>
      <w:tr w14:paraId="5468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9D6CD47">
            <w:pPr>
              <w:spacing w:line="240" w:lineRule="auto"/>
              <w:ind w:firstLine="0" w:firstLineChars="0"/>
              <w:jc w:val="center"/>
              <w:rPr>
                <w:rFonts w:hint="eastAsia"/>
                <w:color w:val="auto"/>
                <w:sz w:val="21"/>
                <w:szCs w:val="21"/>
              </w:rPr>
            </w:pPr>
            <w:r>
              <w:rPr>
                <w:rFonts w:hint="eastAsia"/>
                <w:color w:val="auto"/>
                <w:sz w:val="21"/>
                <w:szCs w:val="21"/>
              </w:rPr>
              <w:t>4</w:t>
            </w:r>
          </w:p>
        </w:tc>
        <w:tc>
          <w:tcPr>
            <w:tcW w:w="4551" w:type="pct"/>
            <w:tcBorders>
              <w:top w:val="single" w:color="auto" w:sz="4" w:space="0"/>
              <w:left w:val="nil"/>
              <w:bottom w:val="single" w:color="auto" w:sz="4" w:space="0"/>
              <w:right w:val="single" w:color="auto" w:sz="4" w:space="0"/>
            </w:tcBorders>
            <w:noWrap w:val="0"/>
            <w:vAlign w:val="center"/>
          </w:tcPr>
          <w:p w14:paraId="627BC790">
            <w:pPr>
              <w:spacing w:line="240" w:lineRule="auto"/>
              <w:ind w:firstLine="420"/>
              <w:rPr>
                <w:rFonts w:hint="eastAsia"/>
                <w:color w:val="auto"/>
                <w:sz w:val="21"/>
                <w:szCs w:val="21"/>
              </w:rPr>
            </w:pPr>
            <w:r>
              <w:rPr>
                <w:rFonts w:hint="eastAsia"/>
                <w:color w:val="auto"/>
                <w:sz w:val="21"/>
                <w:szCs w:val="21"/>
              </w:rPr>
              <w:t>绿色施工讲究施工过程中最大程度地保护自然环境，做到人与自然、人与城市和谐相处，加强施工现场人员安全与健康管理是绿色施工实施的基础。</w:t>
            </w:r>
          </w:p>
        </w:tc>
      </w:tr>
    </w:tbl>
    <w:p w14:paraId="6C8F5FCD">
      <w:pPr>
        <w:ind w:firstLine="480"/>
        <w:rPr>
          <w:rFonts w:hint="eastAsia"/>
          <w:color w:val="auto"/>
        </w:rPr>
      </w:pPr>
      <w:r>
        <w:rPr>
          <w:rFonts w:hint="eastAsia"/>
          <w:color w:val="auto"/>
        </w:rPr>
        <w:t>2、绿色施工宣传和教育形式</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8452"/>
      </w:tblGrid>
      <w:tr w14:paraId="0BAE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AAC95A3">
            <w:pPr>
              <w:spacing w:line="240" w:lineRule="auto"/>
              <w:ind w:firstLine="0" w:firstLineChars="0"/>
              <w:jc w:val="center"/>
              <w:rPr>
                <w:rFonts w:hint="eastAsia"/>
                <w:color w:val="auto"/>
                <w:sz w:val="21"/>
                <w:szCs w:val="21"/>
              </w:rPr>
            </w:pPr>
            <w:r>
              <w:rPr>
                <w:rFonts w:hint="eastAsia"/>
                <w:color w:val="auto"/>
                <w:sz w:val="21"/>
                <w:szCs w:val="21"/>
              </w:rPr>
              <w:t>序号</w:t>
            </w:r>
          </w:p>
        </w:tc>
        <w:tc>
          <w:tcPr>
            <w:tcW w:w="4551" w:type="pct"/>
            <w:tcBorders>
              <w:top w:val="single" w:color="auto" w:sz="4" w:space="0"/>
              <w:left w:val="nil"/>
              <w:bottom w:val="single" w:color="auto" w:sz="4" w:space="0"/>
              <w:right w:val="single" w:color="auto" w:sz="4" w:space="0"/>
            </w:tcBorders>
            <w:noWrap w:val="0"/>
            <w:vAlign w:val="center"/>
          </w:tcPr>
          <w:p w14:paraId="32E6434A">
            <w:pPr>
              <w:spacing w:line="240" w:lineRule="auto"/>
              <w:ind w:firstLine="0" w:firstLineChars="0"/>
              <w:jc w:val="center"/>
              <w:rPr>
                <w:rFonts w:hint="eastAsia"/>
                <w:color w:val="auto"/>
                <w:sz w:val="21"/>
                <w:szCs w:val="21"/>
              </w:rPr>
            </w:pPr>
            <w:r>
              <w:rPr>
                <w:rFonts w:hint="eastAsia"/>
                <w:color w:val="auto"/>
                <w:sz w:val="21"/>
                <w:szCs w:val="21"/>
              </w:rPr>
              <w:t>具体措施</w:t>
            </w:r>
          </w:p>
        </w:tc>
      </w:tr>
      <w:tr w14:paraId="309B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14C0CE3">
            <w:pPr>
              <w:spacing w:line="240" w:lineRule="auto"/>
              <w:ind w:firstLine="0" w:firstLineChars="0"/>
              <w:jc w:val="center"/>
              <w:rPr>
                <w:rFonts w:hint="eastAsia"/>
                <w:color w:val="auto"/>
                <w:sz w:val="21"/>
                <w:szCs w:val="21"/>
              </w:rPr>
            </w:pPr>
            <w:r>
              <w:rPr>
                <w:rFonts w:hint="eastAsia"/>
                <w:color w:val="auto"/>
                <w:sz w:val="21"/>
                <w:szCs w:val="21"/>
              </w:rPr>
              <w:t>1</w:t>
            </w:r>
          </w:p>
        </w:tc>
        <w:tc>
          <w:tcPr>
            <w:tcW w:w="4551" w:type="pct"/>
            <w:tcBorders>
              <w:top w:val="single" w:color="auto" w:sz="4" w:space="0"/>
              <w:left w:val="nil"/>
              <w:bottom w:val="single" w:color="auto" w:sz="4" w:space="0"/>
              <w:right w:val="single" w:color="auto" w:sz="4" w:space="0"/>
            </w:tcBorders>
            <w:noWrap w:val="0"/>
            <w:vAlign w:val="center"/>
          </w:tcPr>
          <w:p w14:paraId="5B28C145">
            <w:pPr>
              <w:spacing w:line="240" w:lineRule="auto"/>
              <w:ind w:firstLine="420"/>
              <w:rPr>
                <w:rFonts w:hint="eastAsia"/>
                <w:color w:val="auto"/>
                <w:sz w:val="21"/>
                <w:szCs w:val="21"/>
              </w:rPr>
            </w:pPr>
            <w:r>
              <w:rPr>
                <w:rFonts w:hint="eastAsia"/>
                <w:color w:val="auto"/>
                <w:sz w:val="21"/>
                <w:szCs w:val="21"/>
              </w:rPr>
              <w:t>张挂宣传横幅</w:t>
            </w:r>
          </w:p>
        </w:tc>
      </w:tr>
      <w:tr w14:paraId="4B59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0C9B2CB">
            <w:pPr>
              <w:spacing w:line="240" w:lineRule="auto"/>
              <w:ind w:firstLine="0" w:firstLineChars="0"/>
              <w:jc w:val="center"/>
              <w:rPr>
                <w:rFonts w:hint="eastAsia"/>
                <w:color w:val="auto"/>
                <w:sz w:val="21"/>
                <w:szCs w:val="21"/>
              </w:rPr>
            </w:pPr>
            <w:r>
              <w:rPr>
                <w:rFonts w:hint="eastAsia"/>
                <w:color w:val="auto"/>
                <w:sz w:val="21"/>
                <w:szCs w:val="21"/>
              </w:rPr>
              <w:t>2</w:t>
            </w:r>
          </w:p>
        </w:tc>
        <w:tc>
          <w:tcPr>
            <w:tcW w:w="4551" w:type="pct"/>
            <w:tcBorders>
              <w:top w:val="single" w:color="auto" w:sz="4" w:space="0"/>
              <w:left w:val="nil"/>
              <w:bottom w:val="single" w:color="auto" w:sz="4" w:space="0"/>
              <w:right w:val="single" w:color="auto" w:sz="4" w:space="0"/>
            </w:tcBorders>
            <w:noWrap w:val="0"/>
            <w:vAlign w:val="center"/>
          </w:tcPr>
          <w:p w14:paraId="06434C7D">
            <w:pPr>
              <w:spacing w:line="240" w:lineRule="auto"/>
              <w:ind w:firstLine="420"/>
              <w:rPr>
                <w:rFonts w:hint="eastAsia"/>
                <w:color w:val="auto"/>
                <w:sz w:val="21"/>
                <w:szCs w:val="21"/>
              </w:rPr>
            </w:pPr>
            <w:r>
              <w:rPr>
                <w:rFonts w:hint="eastAsia"/>
                <w:color w:val="auto"/>
                <w:sz w:val="21"/>
                <w:szCs w:val="21"/>
              </w:rPr>
              <w:t>公布项目部绿色施工方案</w:t>
            </w:r>
          </w:p>
        </w:tc>
      </w:tr>
      <w:tr w14:paraId="0DA9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AF19228">
            <w:pPr>
              <w:spacing w:line="240" w:lineRule="auto"/>
              <w:ind w:firstLine="0" w:firstLineChars="0"/>
              <w:jc w:val="center"/>
              <w:rPr>
                <w:rFonts w:hint="eastAsia"/>
                <w:color w:val="auto"/>
                <w:sz w:val="21"/>
                <w:szCs w:val="21"/>
              </w:rPr>
            </w:pPr>
            <w:r>
              <w:rPr>
                <w:rFonts w:hint="eastAsia"/>
                <w:color w:val="auto"/>
                <w:sz w:val="21"/>
                <w:szCs w:val="21"/>
              </w:rPr>
              <w:t>3</w:t>
            </w:r>
          </w:p>
        </w:tc>
        <w:tc>
          <w:tcPr>
            <w:tcW w:w="4551" w:type="pct"/>
            <w:tcBorders>
              <w:top w:val="single" w:color="auto" w:sz="4" w:space="0"/>
              <w:left w:val="nil"/>
              <w:bottom w:val="single" w:color="auto" w:sz="4" w:space="0"/>
              <w:right w:val="single" w:color="auto" w:sz="4" w:space="0"/>
            </w:tcBorders>
            <w:noWrap w:val="0"/>
            <w:vAlign w:val="center"/>
          </w:tcPr>
          <w:p w14:paraId="7F67E352">
            <w:pPr>
              <w:spacing w:line="240" w:lineRule="auto"/>
              <w:ind w:firstLine="420"/>
              <w:rPr>
                <w:rFonts w:hint="eastAsia"/>
                <w:color w:val="auto"/>
                <w:sz w:val="21"/>
                <w:szCs w:val="21"/>
              </w:rPr>
            </w:pPr>
            <w:r>
              <w:rPr>
                <w:rFonts w:hint="eastAsia"/>
                <w:color w:val="auto"/>
                <w:sz w:val="21"/>
                <w:szCs w:val="21"/>
              </w:rPr>
              <w:t>张贴绿色施工标语</w:t>
            </w:r>
          </w:p>
        </w:tc>
      </w:tr>
      <w:tr w14:paraId="5375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4C81669">
            <w:pPr>
              <w:spacing w:line="240" w:lineRule="auto"/>
              <w:ind w:firstLine="0" w:firstLineChars="0"/>
              <w:jc w:val="center"/>
              <w:rPr>
                <w:rFonts w:hint="eastAsia"/>
                <w:color w:val="auto"/>
                <w:sz w:val="21"/>
                <w:szCs w:val="21"/>
              </w:rPr>
            </w:pPr>
            <w:r>
              <w:rPr>
                <w:rFonts w:hint="eastAsia"/>
                <w:color w:val="auto"/>
                <w:sz w:val="21"/>
                <w:szCs w:val="21"/>
              </w:rPr>
              <w:t>4</w:t>
            </w:r>
          </w:p>
        </w:tc>
        <w:tc>
          <w:tcPr>
            <w:tcW w:w="4551" w:type="pct"/>
            <w:tcBorders>
              <w:top w:val="single" w:color="auto" w:sz="4" w:space="0"/>
              <w:left w:val="nil"/>
              <w:bottom w:val="single" w:color="auto" w:sz="4" w:space="0"/>
              <w:right w:val="single" w:color="auto" w:sz="4" w:space="0"/>
            </w:tcBorders>
            <w:noWrap w:val="0"/>
            <w:vAlign w:val="center"/>
          </w:tcPr>
          <w:p w14:paraId="24514BFD">
            <w:pPr>
              <w:spacing w:line="240" w:lineRule="auto"/>
              <w:ind w:firstLine="420"/>
              <w:rPr>
                <w:rFonts w:hint="eastAsia"/>
                <w:color w:val="auto"/>
                <w:sz w:val="21"/>
                <w:szCs w:val="21"/>
              </w:rPr>
            </w:pPr>
            <w:r>
              <w:rPr>
                <w:rFonts w:hint="eastAsia"/>
                <w:color w:val="auto"/>
                <w:sz w:val="21"/>
                <w:szCs w:val="21"/>
              </w:rPr>
              <w:t>设立职工建议箱</w:t>
            </w:r>
          </w:p>
        </w:tc>
      </w:tr>
      <w:tr w14:paraId="64E6A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A8FA619">
            <w:pPr>
              <w:spacing w:line="240" w:lineRule="auto"/>
              <w:ind w:firstLine="0" w:firstLineChars="0"/>
              <w:jc w:val="center"/>
              <w:rPr>
                <w:rFonts w:hint="eastAsia"/>
                <w:color w:val="auto"/>
                <w:sz w:val="21"/>
                <w:szCs w:val="21"/>
              </w:rPr>
            </w:pPr>
            <w:r>
              <w:rPr>
                <w:rFonts w:hint="eastAsia"/>
                <w:color w:val="auto"/>
                <w:sz w:val="21"/>
                <w:szCs w:val="21"/>
              </w:rPr>
              <w:t>5</w:t>
            </w:r>
          </w:p>
        </w:tc>
        <w:tc>
          <w:tcPr>
            <w:tcW w:w="4551" w:type="pct"/>
            <w:tcBorders>
              <w:top w:val="single" w:color="auto" w:sz="4" w:space="0"/>
              <w:left w:val="nil"/>
              <w:bottom w:val="single" w:color="auto" w:sz="4" w:space="0"/>
              <w:right w:val="single" w:color="auto" w:sz="4" w:space="0"/>
            </w:tcBorders>
            <w:noWrap w:val="0"/>
            <w:vAlign w:val="center"/>
          </w:tcPr>
          <w:p w14:paraId="72E86AD7">
            <w:pPr>
              <w:spacing w:line="240" w:lineRule="auto"/>
              <w:ind w:firstLine="420"/>
              <w:rPr>
                <w:rFonts w:hint="eastAsia"/>
                <w:color w:val="auto"/>
                <w:sz w:val="21"/>
                <w:szCs w:val="21"/>
              </w:rPr>
            </w:pPr>
            <w:r>
              <w:rPr>
                <w:rFonts w:hint="eastAsia"/>
                <w:color w:val="auto"/>
                <w:sz w:val="21"/>
                <w:szCs w:val="21"/>
              </w:rPr>
              <w:t>重要部位张贴友情提示，如内部相关楼层、办公室、卫生间、洗手池、食堂等。</w:t>
            </w:r>
          </w:p>
        </w:tc>
      </w:tr>
      <w:tr w14:paraId="7A61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256FBE5">
            <w:pPr>
              <w:spacing w:line="240" w:lineRule="auto"/>
              <w:ind w:firstLine="0" w:firstLineChars="0"/>
              <w:jc w:val="center"/>
              <w:rPr>
                <w:rFonts w:hint="eastAsia"/>
                <w:color w:val="auto"/>
                <w:sz w:val="21"/>
                <w:szCs w:val="21"/>
              </w:rPr>
            </w:pPr>
            <w:r>
              <w:rPr>
                <w:rFonts w:hint="eastAsia"/>
                <w:color w:val="auto"/>
                <w:sz w:val="21"/>
                <w:szCs w:val="21"/>
              </w:rPr>
              <w:t>6</w:t>
            </w:r>
          </w:p>
        </w:tc>
        <w:tc>
          <w:tcPr>
            <w:tcW w:w="4551" w:type="pct"/>
            <w:tcBorders>
              <w:top w:val="single" w:color="auto" w:sz="4" w:space="0"/>
              <w:left w:val="nil"/>
              <w:bottom w:val="single" w:color="auto" w:sz="4" w:space="0"/>
              <w:right w:val="single" w:color="auto" w:sz="4" w:space="0"/>
            </w:tcBorders>
            <w:noWrap w:val="0"/>
            <w:vAlign w:val="center"/>
          </w:tcPr>
          <w:p w14:paraId="0E2D002B">
            <w:pPr>
              <w:spacing w:line="240" w:lineRule="auto"/>
              <w:ind w:firstLine="420"/>
              <w:rPr>
                <w:rFonts w:hint="eastAsia"/>
                <w:color w:val="auto"/>
                <w:sz w:val="21"/>
                <w:szCs w:val="21"/>
              </w:rPr>
            </w:pPr>
            <w:r>
              <w:rPr>
                <w:rFonts w:hint="eastAsia"/>
                <w:color w:val="auto"/>
                <w:sz w:val="21"/>
                <w:szCs w:val="21"/>
              </w:rPr>
              <w:t>每月组织开展一次以上学习本阶段绿色施工重点工作以及宣传相关法律法规活动，分层次组织管理人员、劳动工人进行学习，使之认识绿色施工责任和义务，增强绿色施工意识。</w:t>
            </w:r>
          </w:p>
        </w:tc>
      </w:tr>
      <w:tr w14:paraId="28F2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E06E7CF">
            <w:pPr>
              <w:spacing w:line="240" w:lineRule="auto"/>
              <w:ind w:firstLine="0" w:firstLineChars="0"/>
              <w:jc w:val="center"/>
              <w:rPr>
                <w:rFonts w:hint="eastAsia"/>
                <w:color w:val="auto"/>
                <w:sz w:val="21"/>
                <w:szCs w:val="21"/>
              </w:rPr>
            </w:pPr>
            <w:r>
              <w:rPr>
                <w:rFonts w:hint="eastAsia"/>
                <w:color w:val="auto"/>
                <w:sz w:val="21"/>
                <w:szCs w:val="21"/>
              </w:rPr>
              <w:t>7</w:t>
            </w:r>
          </w:p>
        </w:tc>
        <w:tc>
          <w:tcPr>
            <w:tcW w:w="4551" w:type="pct"/>
            <w:tcBorders>
              <w:top w:val="single" w:color="auto" w:sz="4" w:space="0"/>
              <w:left w:val="nil"/>
              <w:bottom w:val="single" w:color="auto" w:sz="4" w:space="0"/>
              <w:right w:val="single" w:color="auto" w:sz="4" w:space="0"/>
            </w:tcBorders>
            <w:noWrap w:val="0"/>
            <w:vAlign w:val="center"/>
          </w:tcPr>
          <w:p w14:paraId="10DED431">
            <w:pPr>
              <w:spacing w:line="240" w:lineRule="auto"/>
              <w:ind w:firstLine="420"/>
              <w:rPr>
                <w:rFonts w:hint="eastAsia"/>
                <w:color w:val="auto"/>
                <w:sz w:val="21"/>
                <w:szCs w:val="21"/>
              </w:rPr>
            </w:pPr>
            <w:r>
              <w:rPr>
                <w:rFonts w:hint="eastAsia"/>
                <w:color w:val="auto"/>
                <w:sz w:val="21"/>
                <w:szCs w:val="21"/>
              </w:rPr>
              <w:t>对发现浪费现象后进行针对性的教育</w:t>
            </w:r>
          </w:p>
        </w:tc>
      </w:tr>
    </w:tbl>
    <w:p w14:paraId="69E248F7">
      <w:pPr>
        <w:ind w:firstLine="480"/>
        <w:rPr>
          <w:rFonts w:hint="eastAsia"/>
          <w:color w:val="auto"/>
        </w:rPr>
      </w:pPr>
      <w:r>
        <w:rPr>
          <w:rFonts w:hint="eastAsia"/>
          <w:color w:val="auto"/>
        </w:rPr>
        <w:t>3、绿色施工评价管理</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8452"/>
      </w:tblGrid>
      <w:tr w14:paraId="66EF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bottom w:val="single" w:color="auto" w:sz="4" w:space="0"/>
              <w:right w:val="single" w:color="auto" w:sz="4" w:space="0"/>
            </w:tcBorders>
            <w:noWrap w:val="0"/>
            <w:vAlign w:val="center"/>
          </w:tcPr>
          <w:p w14:paraId="67F443D9">
            <w:pPr>
              <w:spacing w:line="240" w:lineRule="auto"/>
              <w:ind w:firstLine="0" w:firstLineChars="0"/>
              <w:jc w:val="center"/>
              <w:rPr>
                <w:rFonts w:hint="eastAsia"/>
                <w:color w:val="auto"/>
                <w:sz w:val="21"/>
                <w:szCs w:val="21"/>
              </w:rPr>
            </w:pPr>
            <w:r>
              <w:rPr>
                <w:rFonts w:hint="eastAsia"/>
                <w:color w:val="auto"/>
                <w:sz w:val="21"/>
                <w:szCs w:val="21"/>
              </w:rPr>
              <w:t>序号</w:t>
            </w:r>
          </w:p>
        </w:tc>
        <w:tc>
          <w:tcPr>
            <w:tcW w:w="4551" w:type="pct"/>
            <w:tcBorders>
              <w:top w:val="single" w:color="auto" w:sz="4" w:space="0"/>
              <w:left w:val="nil"/>
              <w:bottom w:val="single" w:color="auto" w:sz="4" w:space="0"/>
              <w:right w:val="single" w:color="auto" w:sz="4" w:space="0"/>
            </w:tcBorders>
            <w:noWrap w:val="0"/>
            <w:vAlign w:val="center"/>
          </w:tcPr>
          <w:p w14:paraId="4C7C6CE3">
            <w:pPr>
              <w:spacing w:line="240" w:lineRule="auto"/>
              <w:ind w:firstLine="0" w:firstLineChars="0"/>
              <w:jc w:val="center"/>
              <w:rPr>
                <w:rFonts w:hint="eastAsia"/>
                <w:color w:val="auto"/>
                <w:sz w:val="21"/>
                <w:szCs w:val="21"/>
              </w:rPr>
            </w:pPr>
            <w:r>
              <w:rPr>
                <w:rFonts w:hint="eastAsia"/>
                <w:color w:val="auto"/>
                <w:sz w:val="21"/>
                <w:szCs w:val="21"/>
              </w:rPr>
              <w:t>具体措施</w:t>
            </w:r>
          </w:p>
        </w:tc>
      </w:tr>
      <w:tr w14:paraId="2FB8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bottom w:val="single" w:color="auto" w:sz="4" w:space="0"/>
              <w:right w:val="single" w:color="auto" w:sz="4" w:space="0"/>
            </w:tcBorders>
            <w:noWrap w:val="0"/>
            <w:vAlign w:val="center"/>
          </w:tcPr>
          <w:p w14:paraId="2B7A220E">
            <w:pPr>
              <w:spacing w:line="240" w:lineRule="auto"/>
              <w:ind w:firstLine="0" w:firstLineChars="0"/>
              <w:jc w:val="center"/>
              <w:rPr>
                <w:rFonts w:hint="eastAsia"/>
                <w:color w:val="auto"/>
                <w:sz w:val="21"/>
                <w:szCs w:val="21"/>
              </w:rPr>
            </w:pPr>
            <w:r>
              <w:rPr>
                <w:rFonts w:hint="eastAsia"/>
                <w:color w:val="auto"/>
                <w:sz w:val="21"/>
                <w:szCs w:val="21"/>
              </w:rPr>
              <w:t>1</w:t>
            </w:r>
          </w:p>
        </w:tc>
        <w:tc>
          <w:tcPr>
            <w:tcW w:w="4551" w:type="pct"/>
            <w:tcBorders>
              <w:top w:val="single" w:color="auto" w:sz="4" w:space="0"/>
              <w:left w:val="nil"/>
              <w:bottom w:val="single" w:color="auto" w:sz="4" w:space="0"/>
              <w:right w:val="single" w:color="auto" w:sz="4" w:space="0"/>
            </w:tcBorders>
            <w:noWrap w:val="0"/>
            <w:vAlign w:val="center"/>
          </w:tcPr>
          <w:p w14:paraId="41A7F7F7">
            <w:pPr>
              <w:spacing w:line="240" w:lineRule="auto"/>
              <w:ind w:firstLine="420"/>
              <w:rPr>
                <w:rFonts w:hint="eastAsia"/>
                <w:color w:val="auto"/>
                <w:sz w:val="21"/>
                <w:szCs w:val="21"/>
              </w:rPr>
            </w:pPr>
            <w:r>
              <w:rPr>
                <w:rFonts w:hint="eastAsia"/>
                <w:color w:val="auto"/>
                <w:sz w:val="21"/>
                <w:szCs w:val="21"/>
              </w:rPr>
              <w:t>评价绿色施工整体目标是否能满足业主、项目部、员工、社会、政府的要求。</w:t>
            </w:r>
          </w:p>
        </w:tc>
      </w:tr>
      <w:tr w14:paraId="50A3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bottom w:val="single" w:color="auto" w:sz="4" w:space="0"/>
              <w:right w:val="single" w:color="auto" w:sz="4" w:space="0"/>
            </w:tcBorders>
            <w:noWrap w:val="0"/>
            <w:vAlign w:val="center"/>
          </w:tcPr>
          <w:p w14:paraId="59F2AF1D">
            <w:pPr>
              <w:spacing w:line="240" w:lineRule="auto"/>
              <w:ind w:firstLine="0" w:firstLineChars="0"/>
              <w:jc w:val="center"/>
              <w:rPr>
                <w:rFonts w:hint="eastAsia"/>
                <w:color w:val="auto"/>
                <w:sz w:val="21"/>
                <w:szCs w:val="21"/>
              </w:rPr>
            </w:pPr>
            <w:r>
              <w:rPr>
                <w:rFonts w:hint="eastAsia"/>
                <w:color w:val="auto"/>
                <w:sz w:val="21"/>
                <w:szCs w:val="21"/>
              </w:rPr>
              <w:t>2</w:t>
            </w:r>
          </w:p>
        </w:tc>
        <w:tc>
          <w:tcPr>
            <w:tcW w:w="4551" w:type="pct"/>
            <w:tcBorders>
              <w:top w:val="single" w:color="auto" w:sz="4" w:space="0"/>
              <w:left w:val="nil"/>
              <w:bottom w:val="single" w:color="auto" w:sz="4" w:space="0"/>
              <w:right w:val="single" w:color="auto" w:sz="4" w:space="0"/>
            </w:tcBorders>
            <w:noWrap w:val="0"/>
            <w:vAlign w:val="center"/>
          </w:tcPr>
          <w:p w14:paraId="7843CC46">
            <w:pPr>
              <w:spacing w:line="240" w:lineRule="auto"/>
              <w:ind w:firstLine="420"/>
              <w:rPr>
                <w:rFonts w:hint="eastAsia"/>
                <w:color w:val="auto"/>
                <w:sz w:val="21"/>
                <w:szCs w:val="21"/>
              </w:rPr>
            </w:pPr>
            <w:r>
              <w:rPr>
                <w:rFonts w:hint="eastAsia"/>
                <w:color w:val="auto"/>
                <w:sz w:val="21"/>
                <w:szCs w:val="21"/>
              </w:rPr>
              <w:t>分阶段组织专题会议对“四节一环保”的有效性、适应性、适宜性进行评价。</w:t>
            </w:r>
          </w:p>
        </w:tc>
      </w:tr>
      <w:tr w14:paraId="528F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bottom w:val="single" w:color="auto" w:sz="4" w:space="0"/>
              <w:right w:val="single" w:color="auto" w:sz="4" w:space="0"/>
            </w:tcBorders>
            <w:noWrap w:val="0"/>
            <w:vAlign w:val="center"/>
          </w:tcPr>
          <w:p w14:paraId="7A94C498">
            <w:pPr>
              <w:spacing w:line="240" w:lineRule="auto"/>
              <w:ind w:firstLine="0" w:firstLineChars="0"/>
              <w:jc w:val="center"/>
              <w:rPr>
                <w:rFonts w:hint="eastAsia"/>
                <w:color w:val="auto"/>
                <w:sz w:val="21"/>
                <w:szCs w:val="21"/>
              </w:rPr>
            </w:pPr>
            <w:r>
              <w:rPr>
                <w:rFonts w:hint="eastAsia"/>
                <w:color w:val="auto"/>
                <w:sz w:val="21"/>
                <w:szCs w:val="21"/>
              </w:rPr>
              <w:t>3</w:t>
            </w:r>
          </w:p>
        </w:tc>
        <w:tc>
          <w:tcPr>
            <w:tcW w:w="4551" w:type="pct"/>
            <w:tcBorders>
              <w:top w:val="single" w:color="auto" w:sz="4" w:space="0"/>
              <w:left w:val="nil"/>
              <w:bottom w:val="single" w:color="auto" w:sz="4" w:space="0"/>
              <w:right w:val="single" w:color="auto" w:sz="4" w:space="0"/>
            </w:tcBorders>
            <w:noWrap w:val="0"/>
            <w:vAlign w:val="center"/>
          </w:tcPr>
          <w:p w14:paraId="42387420">
            <w:pPr>
              <w:spacing w:line="240" w:lineRule="auto"/>
              <w:ind w:firstLine="420"/>
              <w:rPr>
                <w:rFonts w:hint="eastAsia"/>
                <w:color w:val="auto"/>
                <w:sz w:val="21"/>
                <w:szCs w:val="21"/>
              </w:rPr>
            </w:pPr>
            <w:r>
              <w:rPr>
                <w:rFonts w:hint="eastAsia"/>
                <w:color w:val="auto"/>
                <w:sz w:val="21"/>
                <w:szCs w:val="21"/>
              </w:rPr>
              <w:t>评价是否需要对“四节一环保”计划做出调整，包括对各项目标指标值的调整，提供制定持续改进措施计划的信息和要求，包括各项措施的先后顺序、时间节点。</w:t>
            </w:r>
          </w:p>
        </w:tc>
      </w:tr>
      <w:tr w14:paraId="5C78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bottom w:val="single" w:color="auto" w:sz="4" w:space="0"/>
              <w:right w:val="single" w:color="auto" w:sz="4" w:space="0"/>
            </w:tcBorders>
            <w:noWrap w:val="0"/>
            <w:vAlign w:val="center"/>
          </w:tcPr>
          <w:p w14:paraId="0B86900F">
            <w:pPr>
              <w:spacing w:line="240" w:lineRule="auto"/>
              <w:ind w:firstLine="0" w:firstLineChars="0"/>
              <w:jc w:val="center"/>
              <w:rPr>
                <w:rFonts w:hint="eastAsia"/>
                <w:color w:val="auto"/>
                <w:sz w:val="21"/>
                <w:szCs w:val="21"/>
              </w:rPr>
            </w:pPr>
            <w:r>
              <w:rPr>
                <w:rFonts w:hint="eastAsia"/>
                <w:color w:val="auto"/>
                <w:sz w:val="21"/>
                <w:szCs w:val="21"/>
              </w:rPr>
              <w:t>4</w:t>
            </w:r>
          </w:p>
        </w:tc>
        <w:tc>
          <w:tcPr>
            <w:tcW w:w="4551" w:type="pct"/>
            <w:tcBorders>
              <w:top w:val="single" w:color="auto" w:sz="4" w:space="0"/>
              <w:left w:val="nil"/>
              <w:bottom w:val="single" w:color="auto" w:sz="4" w:space="0"/>
              <w:right w:val="single" w:color="auto" w:sz="4" w:space="0"/>
            </w:tcBorders>
            <w:noWrap w:val="0"/>
            <w:vAlign w:val="center"/>
          </w:tcPr>
          <w:p w14:paraId="06998E24">
            <w:pPr>
              <w:spacing w:line="240" w:lineRule="auto"/>
              <w:ind w:firstLine="420"/>
              <w:rPr>
                <w:rFonts w:hint="eastAsia"/>
                <w:color w:val="auto"/>
                <w:sz w:val="21"/>
                <w:szCs w:val="21"/>
              </w:rPr>
            </w:pPr>
            <w:r>
              <w:rPr>
                <w:rFonts w:hint="eastAsia"/>
                <w:color w:val="auto"/>
                <w:sz w:val="21"/>
                <w:szCs w:val="21"/>
              </w:rPr>
              <w:t>识别以及及时纠正“四节一环保”方案措施的不足之处，必要时包括对项目部组织机构做出调整。</w:t>
            </w:r>
          </w:p>
        </w:tc>
      </w:tr>
      <w:tr w14:paraId="400C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bottom w:val="single" w:color="auto" w:sz="4" w:space="0"/>
              <w:right w:val="single" w:color="auto" w:sz="4" w:space="0"/>
            </w:tcBorders>
            <w:noWrap w:val="0"/>
            <w:vAlign w:val="center"/>
          </w:tcPr>
          <w:p w14:paraId="183EC0AF">
            <w:pPr>
              <w:spacing w:line="240" w:lineRule="auto"/>
              <w:ind w:firstLine="0" w:firstLineChars="0"/>
              <w:jc w:val="center"/>
              <w:rPr>
                <w:rFonts w:hint="eastAsia"/>
                <w:color w:val="auto"/>
                <w:sz w:val="21"/>
                <w:szCs w:val="21"/>
              </w:rPr>
            </w:pPr>
            <w:r>
              <w:rPr>
                <w:rFonts w:hint="eastAsia"/>
                <w:color w:val="auto"/>
                <w:sz w:val="21"/>
                <w:szCs w:val="21"/>
              </w:rPr>
              <w:t>5</w:t>
            </w:r>
          </w:p>
        </w:tc>
        <w:tc>
          <w:tcPr>
            <w:tcW w:w="4551" w:type="pct"/>
            <w:tcBorders>
              <w:top w:val="single" w:color="auto" w:sz="4" w:space="0"/>
              <w:left w:val="nil"/>
              <w:bottom w:val="single" w:color="auto" w:sz="4" w:space="0"/>
              <w:right w:val="single" w:color="auto" w:sz="4" w:space="0"/>
            </w:tcBorders>
            <w:noWrap w:val="0"/>
            <w:vAlign w:val="center"/>
          </w:tcPr>
          <w:p w14:paraId="1D61B6E9">
            <w:pPr>
              <w:spacing w:line="240" w:lineRule="auto"/>
              <w:ind w:firstLine="420"/>
              <w:rPr>
                <w:rFonts w:hint="eastAsia"/>
                <w:color w:val="auto"/>
                <w:sz w:val="21"/>
                <w:szCs w:val="21"/>
              </w:rPr>
            </w:pPr>
            <w:r>
              <w:rPr>
                <w:rFonts w:hint="eastAsia"/>
                <w:color w:val="auto"/>
                <w:sz w:val="21"/>
                <w:szCs w:val="21"/>
              </w:rPr>
              <w:t>评价“四节一环保”目标实现情况，在地下室与主体施工阶段、装修工程施工阶段为每个季度评价一次；涉及较小且工期较短（小于一个季度）的专业分项工程，为每分项工程结束前进行评价。</w:t>
            </w:r>
          </w:p>
        </w:tc>
      </w:tr>
      <w:tr w14:paraId="3113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bottom w:val="single" w:color="auto" w:sz="4" w:space="0"/>
              <w:right w:val="single" w:color="auto" w:sz="4" w:space="0"/>
            </w:tcBorders>
            <w:noWrap w:val="0"/>
            <w:vAlign w:val="center"/>
          </w:tcPr>
          <w:p w14:paraId="7D67A45C">
            <w:pPr>
              <w:spacing w:line="240" w:lineRule="auto"/>
              <w:ind w:firstLine="0" w:firstLineChars="0"/>
              <w:jc w:val="center"/>
              <w:rPr>
                <w:rFonts w:hint="eastAsia"/>
                <w:color w:val="auto"/>
                <w:sz w:val="21"/>
                <w:szCs w:val="21"/>
              </w:rPr>
            </w:pPr>
            <w:r>
              <w:rPr>
                <w:rFonts w:hint="eastAsia"/>
                <w:color w:val="auto"/>
                <w:sz w:val="21"/>
                <w:szCs w:val="21"/>
              </w:rPr>
              <w:t>6</w:t>
            </w:r>
          </w:p>
        </w:tc>
        <w:tc>
          <w:tcPr>
            <w:tcW w:w="4551" w:type="pct"/>
            <w:tcBorders>
              <w:top w:val="single" w:color="auto" w:sz="4" w:space="0"/>
              <w:left w:val="nil"/>
              <w:bottom w:val="single" w:color="auto" w:sz="4" w:space="0"/>
              <w:right w:val="single" w:color="auto" w:sz="4" w:space="0"/>
            </w:tcBorders>
            <w:noWrap w:val="0"/>
            <w:vAlign w:val="center"/>
          </w:tcPr>
          <w:p w14:paraId="2B86C566">
            <w:pPr>
              <w:spacing w:line="240" w:lineRule="auto"/>
              <w:ind w:firstLine="420"/>
              <w:rPr>
                <w:rFonts w:hint="eastAsia"/>
                <w:color w:val="auto"/>
                <w:sz w:val="21"/>
                <w:szCs w:val="21"/>
              </w:rPr>
            </w:pPr>
            <w:r>
              <w:rPr>
                <w:rFonts w:hint="eastAsia"/>
                <w:color w:val="auto"/>
                <w:sz w:val="21"/>
                <w:szCs w:val="21"/>
              </w:rPr>
              <w:t>评估从业人员节约意识的提高情况，在地下室与主体施工阶段、装修工程施工阶段为每个季度评估一次；涉及较小且工期较短（小于一个季度）的专业分项工程，为每分项工程结束前进行评估。</w:t>
            </w:r>
          </w:p>
        </w:tc>
      </w:tr>
    </w:tbl>
    <w:p w14:paraId="4D3C738E">
      <w:pPr>
        <w:ind w:firstLine="480"/>
        <w:rPr>
          <w:rFonts w:hint="eastAsia"/>
          <w:color w:val="auto"/>
        </w:rPr>
      </w:pPr>
      <w:r>
        <w:rPr>
          <w:rFonts w:hint="eastAsia"/>
          <w:color w:val="auto"/>
        </w:rPr>
        <w:t>4、加强绿色施工总承包管理</w:t>
      </w:r>
    </w:p>
    <w:p w14:paraId="4EC7FA12">
      <w:pPr>
        <w:ind w:firstLine="480"/>
        <w:rPr>
          <w:rFonts w:hint="eastAsia"/>
          <w:color w:val="auto"/>
        </w:rPr>
      </w:pPr>
      <w:r>
        <w:rPr>
          <w:rFonts w:hint="eastAsia"/>
          <w:color w:val="auto"/>
        </w:rPr>
        <w:t>本工程为综合性较强、专业较多的工程，前期主体结构施工时主要针对土建、机电安装、钢构等分包队伍进行绿色施工管理实施，后期装修阶段涉及的专业复杂繁多，如电梯工程、弱电工程、幕墙工程、室内精装修工程、室外工程等，加强对各专业分包绿色施工的总承包管理是项目绿色施工的重点。公司将主要从以下三方面对各专业分包进行绿色施工的考核管理：</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9"/>
        <w:gridCol w:w="7767"/>
      </w:tblGrid>
      <w:tr w14:paraId="1F5B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pct"/>
            <w:tcBorders>
              <w:top w:val="single" w:color="auto" w:sz="4" w:space="0"/>
              <w:left w:val="single" w:color="auto" w:sz="4" w:space="0"/>
              <w:bottom w:val="single" w:color="auto" w:sz="4" w:space="0"/>
              <w:right w:val="single" w:color="auto" w:sz="4" w:space="0"/>
            </w:tcBorders>
            <w:noWrap w:val="0"/>
            <w:vAlign w:val="center"/>
          </w:tcPr>
          <w:p w14:paraId="52CADE38">
            <w:pPr>
              <w:spacing w:line="240" w:lineRule="auto"/>
              <w:ind w:firstLine="0" w:firstLineChars="0"/>
              <w:jc w:val="center"/>
              <w:rPr>
                <w:rFonts w:hint="eastAsia"/>
                <w:color w:val="auto"/>
                <w:sz w:val="21"/>
                <w:szCs w:val="21"/>
              </w:rPr>
            </w:pPr>
            <w:r>
              <w:rPr>
                <w:rFonts w:hint="eastAsia"/>
                <w:color w:val="auto"/>
                <w:sz w:val="21"/>
                <w:szCs w:val="21"/>
              </w:rPr>
              <w:t>项目</w:t>
            </w:r>
          </w:p>
        </w:tc>
        <w:tc>
          <w:tcPr>
            <w:tcW w:w="4182" w:type="pct"/>
            <w:tcBorders>
              <w:top w:val="single" w:color="auto" w:sz="4" w:space="0"/>
              <w:left w:val="nil"/>
              <w:bottom w:val="single" w:color="auto" w:sz="4" w:space="0"/>
              <w:right w:val="single" w:color="auto" w:sz="4" w:space="0"/>
            </w:tcBorders>
            <w:noWrap w:val="0"/>
            <w:vAlign w:val="center"/>
          </w:tcPr>
          <w:p w14:paraId="5CDCF400">
            <w:pPr>
              <w:spacing w:line="240" w:lineRule="auto"/>
              <w:ind w:firstLine="0" w:firstLineChars="0"/>
              <w:jc w:val="center"/>
              <w:rPr>
                <w:rFonts w:hint="eastAsia"/>
                <w:color w:val="auto"/>
                <w:sz w:val="21"/>
                <w:szCs w:val="21"/>
              </w:rPr>
            </w:pPr>
            <w:r>
              <w:rPr>
                <w:rFonts w:hint="eastAsia"/>
                <w:color w:val="auto"/>
                <w:sz w:val="21"/>
                <w:szCs w:val="21"/>
              </w:rPr>
              <w:t>管理措施</w:t>
            </w:r>
          </w:p>
        </w:tc>
      </w:tr>
      <w:tr w14:paraId="75A0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pct"/>
            <w:tcBorders>
              <w:top w:val="single" w:color="auto" w:sz="4" w:space="0"/>
              <w:left w:val="single" w:color="auto" w:sz="4" w:space="0"/>
              <w:bottom w:val="single" w:color="auto" w:sz="4" w:space="0"/>
              <w:right w:val="single" w:color="auto" w:sz="4" w:space="0"/>
            </w:tcBorders>
            <w:noWrap w:val="0"/>
            <w:vAlign w:val="center"/>
          </w:tcPr>
          <w:p w14:paraId="58FBA276">
            <w:pPr>
              <w:spacing w:line="240" w:lineRule="auto"/>
              <w:ind w:firstLine="0" w:firstLineChars="0"/>
              <w:jc w:val="center"/>
              <w:rPr>
                <w:rFonts w:hint="eastAsia"/>
                <w:color w:val="auto"/>
                <w:sz w:val="21"/>
                <w:szCs w:val="21"/>
              </w:rPr>
            </w:pPr>
            <w:r>
              <w:rPr>
                <w:rFonts w:hint="eastAsia"/>
                <w:color w:val="auto"/>
                <w:sz w:val="21"/>
                <w:szCs w:val="21"/>
              </w:rPr>
              <w:t>绿色施工计划和制度管理</w:t>
            </w:r>
          </w:p>
        </w:tc>
        <w:tc>
          <w:tcPr>
            <w:tcW w:w="4182" w:type="pct"/>
            <w:tcBorders>
              <w:top w:val="single" w:color="auto" w:sz="4" w:space="0"/>
              <w:left w:val="nil"/>
              <w:bottom w:val="single" w:color="auto" w:sz="4" w:space="0"/>
              <w:right w:val="single" w:color="auto" w:sz="4" w:space="0"/>
            </w:tcBorders>
            <w:noWrap w:val="0"/>
            <w:vAlign w:val="center"/>
          </w:tcPr>
          <w:p w14:paraId="5ED19F2E">
            <w:pPr>
              <w:spacing w:line="240" w:lineRule="auto"/>
              <w:ind w:firstLine="420"/>
              <w:rPr>
                <w:rFonts w:hint="eastAsia"/>
                <w:color w:val="auto"/>
                <w:sz w:val="21"/>
                <w:szCs w:val="21"/>
              </w:rPr>
            </w:pPr>
            <w:r>
              <w:rPr>
                <w:rFonts w:hint="eastAsia"/>
                <w:color w:val="auto"/>
                <w:sz w:val="21"/>
                <w:szCs w:val="21"/>
              </w:rPr>
              <w:t>每个分包进场之初即要求各分包单位及时向项目部上报绿色施工管理计划（包括施工计划和进度计划）以及绿色施工管理制度，经总包单位审核后统一上报监理、业主，由总包、监理、业主对分包的绿色施工进行共同监管、考核。</w:t>
            </w:r>
          </w:p>
        </w:tc>
      </w:tr>
      <w:tr w14:paraId="7231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pct"/>
            <w:tcBorders>
              <w:top w:val="single" w:color="auto" w:sz="4" w:space="0"/>
              <w:left w:val="single" w:color="auto" w:sz="4" w:space="0"/>
              <w:bottom w:val="single" w:color="auto" w:sz="4" w:space="0"/>
              <w:right w:val="single" w:color="auto" w:sz="4" w:space="0"/>
            </w:tcBorders>
            <w:noWrap w:val="0"/>
            <w:vAlign w:val="center"/>
          </w:tcPr>
          <w:p w14:paraId="5409CBA6">
            <w:pPr>
              <w:spacing w:line="240" w:lineRule="auto"/>
              <w:ind w:firstLine="0" w:firstLineChars="0"/>
              <w:jc w:val="center"/>
              <w:rPr>
                <w:rFonts w:hint="eastAsia"/>
                <w:color w:val="auto"/>
                <w:sz w:val="21"/>
                <w:szCs w:val="21"/>
              </w:rPr>
            </w:pPr>
            <w:r>
              <w:rPr>
                <w:rFonts w:hint="eastAsia"/>
                <w:color w:val="auto"/>
                <w:sz w:val="21"/>
                <w:szCs w:val="21"/>
              </w:rPr>
              <w:t>绿色施工实施考核</w:t>
            </w:r>
          </w:p>
        </w:tc>
        <w:tc>
          <w:tcPr>
            <w:tcW w:w="4182" w:type="pct"/>
            <w:tcBorders>
              <w:top w:val="single" w:color="auto" w:sz="4" w:space="0"/>
              <w:left w:val="nil"/>
              <w:bottom w:val="single" w:color="auto" w:sz="4" w:space="0"/>
              <w:right w:val="single" w:color="auto" w:sz="4" w:space="0"/>
            </w:tcBorders>
            <w:noWrap w:val="0"/>
            <w:vAlign w:val="center"/>
          </w:tcPr>
          <w:p w14:paraId="31E7224E">
            <w:pPr>
              <w:spacing w:line="240" w:lineRule="auto"/>
              <w:ind w:firstLine="420"/>
              <w:rPr>
                <w:rFonts w:hint="eastAsia"/>
                <w:color w:val="auto"/>
                <w:sz w:val="21"/>
                <w:szCs w:val="21"/>
              </w:rPr>
            </w:pPr>
            <w:r>
              <w:rPr>
                <w:rFonts w:hint="eastAsia"/>
                <w:color w:val="auto"/>
                <w:sz w:val="21"/>
                <w:szCs w:val="21"/>
              </w:rPr>
              <w:t>在分项工程的实施过程中，按照各专业分包所报送的分项工程绿色施工实施方案，严格对分项工程进行过程监控，并定期进行考核，考核不达标责令其立即整改并处以违约金直至满足绿色施工方案及《绿色施工评价标准》要求为止。</w:t>
            </w:r>
          </w:p>
        </w:tc>
      </w:tr>
      <w:tr w14:paraId="2539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pct"/>
            <w:tcBorders>
              <w:top w:val="single" w:color="auto" w:sz="4" w:space="0"/>
              <w:left w:val="single" w:color="auto" w:sz="4" w:space="0"/>
              <w:bottom w:val="single" w:color="auto" w:sz="4" w:space="0"/>
              <w:right w:val="single" w:color="auto" w:sz="4" w:space="0"/>
            </w:tcBorders>
            <w:noWrap w:val="0"/>
            <w:vAlign w:val="center"/>
          </w:tcPr>
          <w:p w14:paraId="0C321DEA">
            <w:pPr>
              <w:spacing w:line="240" w:lineRule="auto"/>
              <w:ind w:firstLine="0" w:firstLineChars="0"/>
              <w:jc w:val="center"/>
              <w:rPr>
                <w:rFonts w:hint="eastAsia"/>
                <w:color w:val="auto"/>
                <w:sz w:val="21"/>
                <w:szCs w:val="21"/>
              </w:rPr>
            </w:pPr>
            <w:r>
              <w:rPr>
                <w:rFonts w:hint="eastAsia"/>
                <w:color w:val="auto"/>
                <w:sz w:val="21"/>
                <w:szCs w:val="21"/>
              </w:rPr>
              <w:t>绿色施工资料管理</w:t>
            </w:r>
          </w:p>
        </w:tc>
        <w:tc>
          <w:tcPr>
            <w:tcW w:w="4182" w:type="pct"/>
            <w:tcBorders>
              <w:top w:val="single" w:color="auto" w:sz="4" w:space="0"/>
              <w:left w:val="nil"/>
              <w:bottom w:val="single" w:color="auto" w:sz="4" w:space="0"/>
              <w:right w:val="single" w:color="auto" w:sz="4" w:space="0"/>
            </w:tcBorders>
            <w:noWrap w:val="0"/>
            <w:vAlign w:val="center"/>
          </w:tcPr>
          <w:p w14:paraId="5B9C674C">
            <w:pPr>
              <w:spacing w:line="240" w:lineRule="auto"/>
              <w:ind w:firstLine="420"/>
              <w:rPr>
                <w:rFonts w:hint="eastAsia"/>
                <w:color w:val="auto"/>
                <w:sz w:val="21"/>
                <w:szCs w:val="21"/>
              </w:rPr>
            </w:pPr>
            <w:r>
              <w:rPr>
                <w:rFonts w:hint="eastAsia"/>
                <w:color w:val="auto"/>
                <w:sz w:val="21"/>
                <w:szCs w:val="21"/>
              </w:rPr>
              <w:t>由我司负责对各个专业分包绿色施工过程资料的正确性、完整性进行全过程监督管理，在分项工程结束后统一上交我司管理，并由我司统一组织绿色施工中期验收与竣工验收。</w:t>
            </w:r>
          </w:p>
        </w:tc>
      </w:tr>
    </w:tbl>
    <w:p w14:paraId="3EFA6EFA">
      <w:pPr>
        <w:pStyle w:val="4"/>
        <w:rPr>
          <w:rFonts w:hint="eastAsia"/>
          <w:color w:val="auto"/>
        </w:rPr>
      </w:pPr>
      <w:bookmarkStart w:id="39" w:name="_Toc24103"/>
      <w:r>
        <w:rPr>
          <w:rFonts w:hint="eastAsia"/>
          <w:color w:val="auto"/>
        </w:rPr>
        <w:t>各施工阶段控制要求</w:t>
      </w:r>
      <w:bookmarkEnd w:id="39"/>
    </w:p>
    <w:p w14:paraId="14E827CB">
      <w:pPr>
        <w:ind w:firstLine="480"/>
        <w:rPr>
          <w:rFonts w:hint="eastAsia"/>
          <w:color w:val="auto"/>
        </w:rPr>
      </w:pPr>
      <w:r>
        <w:rPr>
          <w:rFonts w:hint="eastAsia"/>
          <w:color w:val="auto"/>
        </w:rPr>
        <w:t>1、施工准备阶段</w:t>
      </w:r>
    </w:p>
    <w:tbl>
      <w:tblPr>
        <w:tblStyle w:val="34"/>
        <w:tblW w:w="5000" w:type="pct"/>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8450"/>
      </w:tblGrid>
      <w:tr w14:paraId="66C9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2D607C39">
            <w:pPr>
              <w:spacing w:line="240" w:lineRule="auto"/>
              <w:ind w:firstLine="0" w:firstLineChars="0"/>
              <w:jc w:val="center"/>
              <w:rPr>
                <w:rFonts w:hint="eastAsia"/>
                <w:color w:val="auto"/>
                <w:sz w:val="21"/>
                <w:szCs w:val="21"/>
              </w:rPr>
            </w:pPr>
            <w:r>
              <w:rPr>
                <w:rFonts w:hint="eastAsia"/>
                <w:color w:val="auto"/>
                <w:sz w:val="21"/>
                <w:szCs w:val="21"/>
              </w:rPr>
              <w:t>序号</w:t>
            </w:r>
          </w:p>
        </w:tc>
        <w:tc>
          <w:tcPr>
            <w:tcW w:w="4550" w:type="pct"/>
            <w:tcBorders>
              <w:top w:val="single" w:color="auto" w:sz="4" w:space="0"/>
              <w:left w:val="nil"/>
              <w:bottom w:val="single" w:color="auto" w:sz="4" w:space="0"/>
              <w:right w:val="single" w:color="auto" w:sz="4" w:space="0"/>
            </w:tcBorders>
            <w:noWrap w:val="0"/>
            <w:vAlign w:val="center"/>
          </w:tcPr>
          <w:p w14:paraId="2DFABAEF">
            <w:pPr>
              <w:spacing w:line="240" w:lineRule="auto"/>
              <w:ind w:firstLine="0" w:firstLineChars="0"/>
              <w:jc w:val="center"/>
              <w:rPr>
                <w:rFonts w:hint="eastAsia"/>
                <w:color w:val="auto"/>
                <w:sz w:val="21"/>
                <w:szCs w:val="21"/>
              </w:rPr>
            </w:pPr>
            <w:r>
              <w:rPr>
                <w:rFonts w:hint="eastAsia"/>
                <w:color w:val="auto"/>
                <w:sz w:val="21"/>
                <w:szCs w:val="21"/>
              </w:rPr>
              <w:t>主要内容</w:t>
            </w:r>
          </w:p>
        </w:tc>
      </w:tr>
      <w:tr w14:paraId="3439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6442DAC2">
            <w:pPr>
              <w:spacing w:line="240" w:lineRule="auto"/>
              <w:ind w:firstLine="0" w:firstLineChars="0"/>
              <w:jc w:val="center"/>
              <w:rPr>
                <w:rFonts w:hint="eastAsia"/>
                <w:color w:val="auto"/>
                <w:sz w:val="21"/>
                <w:szCs w:val="21"/>
              </w:rPr>
            </w:pPr>
            <w:r>
              <w:rPr>
                <w:rFonts w:hint="eastAsia"/>
                <w:color w:val="auto"/>
                <w:sz w:val="21"/>
                <w:szCs w:val="21"/>
              </w:rPr>
              <w:t>1</w:t>
            </w:r>
          </w:p>
        </w:tc>
        <w:tc>
          <w:tcPr>
            <w:tcW w:w="4550" w:type="pct"/>
            <w:tcBorders>
              <w:top w:val="single" w:color="auto" w:sz="4" w:space="0"/>
              <w:left w:val="nil"/>
              <w:bottom w:val="single" w:color="auto" w:sz="4" w:space="0"/>
              <w:right w:val="single" w:color="auto" w:sz="4" w:space="0"/>
            </w:tcBorders>
            <w:noWrap w:val="0"/>
            <w:vAlign w:val="center"/>
          </w:tcPr>
          <w:p w14:paraId="5A80F6D1">
            <w:pPr>
              <w:spacing w:line="240" w:lineRule="auto"/>
              <w:ind w:firstLine="420"/>
              <w:rPr>
                <w:rFonts w:hint="eastAsia"/>
                <w:color w:val="auto"/>
                <w:sz w:val="21"/>
                <w:szCs w:val="21"/>
              </w:rPr>
            </w:pPr>
            <w:r>
              <w:rPr>
                <w:rFonts w:hint="eastAsia"/>
                <w:color w:val="auto"/>
                <w:sz w:val="21"/>
                <w:szCs w:val="21"/>
              </w:rPr>
              <w:t>施工单位应根据设计资料、场地条件、周边环境和绿色施工总体要求，明确绿色施工的目标、材料、方法和实施内容，并在图纸会审时提出需要设计单位配合的建议和意见。</w:t>
            </w:r>
          </w:p>
        </w:tc>
      </w:tr>
      <w:tr w14:paraId="21F4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4FDB4547">
            <w:pPr>
              <w:spacing w:line="240" w:lineRule="auto"/>
              <w:ind w:firstLine="0" w:firstLineChars="0"/>
              <w:jc w:val="center"/>
              <w:rPr>
                <w:rFonts w:hint="eastAsia"/>
                <w:color w:val="auto"/>
                <w:sz w:val="21"/>
                <w:szCs w:val="21"/>
              </w:rPr>
            </w:pPr>
            <w:r>
              <w:rPr>
                <w:rFonts w:hint="eastAsia"/>
                <w:color w:val="auto"/>
                <w:sz w:val="21"/>
                <w:szCs w:val="21"/>
              </w:rPr>
              <w:t>2</w:t>
            </w:r>
          </w:p>
        </w:tc>
        <w:tc>
          <w:tcPr>
            <w:tcW w:w="4550" w:type="pct"/>
            <w:tcBorders>
              <w:top w:val="single" w:color="auto" w:sz="4" w:space="0"/>
              <w:left w:val="nil"/>
              <w:bottom w:val="single" w:color="auto" w:sz="4" w:space="0"/>
              <w:right w:val="single" w:color="auto" w:sz="4" w:space="0"/>
            </w:tcBorders>
            <w:noWrap w:val="0"/>
            <w:vAlign w:val="center"/>
          </w:tcPr>
          <w:p w14:paraId="5BF6535B">
            <w:pPr>
              <w:spacing w:line="240" w:lineRule="auto"/>
              <w:ind w:firstLine="420"/>
              <w:rPr>
                <w:rFonts w:hint="eastAsia"/>
                <w:color w:val="auto"/>
                <w:sz w:val="21"/>
                <w:szCs w:val="21"/>
              </w:rPr>
            </w:pPr>
            <w:r>
              <w:rPr>
                <w:rFonts w:hint="eastAsia"/>
                <w:color w:val="auto"/>
                <w:sz w:val="21"/>
                <w:szCs w:val="21"/>
              </w:rPr>
              <w:t>施工单位应编制包含绿色施工管理和技术要求的工程绿色施工组织设计、绿色施工方案或绿色施工专项方案，并经审批通过后实施。</w:t>
            </w:r>
          </w:p>
        </w:tc>
      </w:tr>
      <w:tr w14:paraId="3D87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75E67192">
            <w:pPr>
              <w:spacing w:line="240" w:lineRule="auto"/>
              <w:ind w:firstLine="0" w:firstLineChars="0"/>
              <w:jc w:val="center"/>
              <w:rPr>
                <w:rFonts w:hint="eastAsia"/>
                <w:color w:val="auto"/>
                <w:sz w:val="21"/>
                <w:szCs w:val="21"/>
              </w:rPr>
            </w:pPr>
            <w:r>
              <w:rPr>
                <w:rFonts w:hint="eastAsia"/>
                <w:color w:val="auto"/>
                <w:sz w:val="21"/>
                <w:szCs w:val="21"/>
              </w:rPr>
              <w:t>3</w:t>
            </w:r>
          </w:p>
        </w:tc>
        <w:tc>
          <w:tcPr>
            <w:tcW w:w="4550" w:type="pct"/>
            <w:tcBorders>
              <w:top w:val="single" w:color="auto" w:sz="4" w:space="0"/>
              <w:left w:val="nil"/>
              <w:bottom w:val="single" w:color="auto" w:sz="4" w:space="0"/>
              <w:right w:val="single" w:color="auto" w:sz="4" w:space="0"/>
            </w:tcBorders>
            <w:noWrap w:val="0"/>
            <w:vAlign w:val="center"/>
          </w:tcPr>
          <w:p w14:paraId="225BA692">
            <w:pPr>
              <w:spacing w:line="240" w:lineRule="auto"/>
              <w:ind w:firstLine="420"/>
              <w:rPr>
                <w:rFonts w:hint="eastAsia"/>
                <w:color w:val="auto"/>
                <w:sz w:val="21"/>
                <w:szCs w:val="21"/>
              </w:rPr>
            </w:pPr>
            <w:r>
              <w:rPr>
                <w:rFonts w:hint="eastAsia"/>
                <w:color w:val="auto"/>
                <w:sz w:val="21"/>
                <w:szCs w:val="21"/>
              </w:rPr>
              <w:t>绿色施工组织设计、绿色施工方案或绿色施工专项方案编制应符合下列规定：</w:t>
            </w:r>
          </w:p>
          <w:p w14:paraId="59409A07">
            <w:pPr>
              <w:spacing w:line="240" w:lineRule="auto"/>
              <w:ind w:firstLine="420"/>
              <w:rPr>
                <w:rFonts w:hint="eastAsia"/>
                <w:color w:val="auto"/>
                <w:sz w:val="21"/>
                <w:szCs w:val="21"/>
              </w:rPr>
            </w:pPr>
            <w:r>
              <w:rPr>
                <w:rFonts w:hint="eastAsia"/>
                <w:color w:val="auto"/>
                <w:sz w:val="21"/>
                <w:szCs w:val="21"/>
              </w:rPr>
              <w:t>1、应考虑施工现场自然与人文环境特点；</w:t>
            </w:r>
          </w:p>
          <w:p w14:paraId="252FC0D4">
            <w:pPr>
              <w:spacing w:line="240" w:lineRule="auto"/>
              <w:ind w:firstLine="420"/>
              <w:rPr>
                <w:rFonts w:hint="eastAsia"/>
                <w:color w:val="auto"/>
                <w:sz w:val="21"/>
                <w:szCs w:val="21"/>
              </w:rPr>
            </w:pPr>
            <w:r>
              <w:rPr>
                <w:rFonts w:hint="eastAsia"/>
                <w:color w:val="auto"/>
                <w:sz w:val="21"/>
                <w:szCs w:val="21"/>
              </w:rPr>
              <w:t>2、应有减少资源浪费和环境污染的措施；</w:t>
            </w:r>
          </w:p>
          <w:p w14:paraId="30C1BAC3">
            <w:pPr>
              <w:spacing w:line="240" w:lineRule="auto"/>
              <w:ind w:firstLine="420"/>
              <w:rPr>
                <w:rFonts w:hint="eastAsia"/>
                <w:color w:val="auto"/>
                <w:sz w:val="21"/>
                <w:szCs w:val="21"/>
              </w:rPr>
            </w:pPr>
            <w:r>
              <w:rPr>
                <w:rFonts w:hint="eastAsia"/>
                <w:color w:val="auto"/>
                <w:sz w:val="21"/>
                <w:szCs w:val="21"/>
              </w:rPr>
              <w:t>3、应明确绿色施工的组织管理体系、技术要求和措施；</w:t>
            </w:r>
          </w:p>
          <w:p w14:paraId="4D6B930F">
            <w:pPr>
              <w:spacing w:line="240" w:lineRule="auto"/>
              <w:ind w:firstLine="420"/>
              <w:rPr>
                <w:rFonts w:hint="eastAsia"/>
                <w:color w:val="auto"/>
                <w:sz w:val="21"/>
                <w:szCs w:val="21"/>
              </w:rPr>
            </w:pPr>
            <w:r>
              <w:rPr>
                <w:rFonts w:hint="eastAsia"/>
                <w:color w:val="auto"/>
                <w:sz w:val="21"/>
                <w:szCs w:val="21"/>
              </w:rPr>
              <w:t>4、应选用先进的产品、技术、设备、施工工艺和方法，利用规划区域内设施；</w:t>
            </w:r>
          </w:p>
          <w:p w14:paraId="22962464">
            <w:pPr>
              <w:spacing w:line="240" w:lineRule="auto"/>
              <w:ind w:firstLine="420"/>
              <w:rPr>
                <w:rFonts w:hint="eastAsia"/>
                <w:color w:val="auto"/>
                <w:sz w:val="21"/>
                <w:szCs w:val="21"/>
              </w:rPr>
            </w:pPr>
            <w:r>
              <w:rPr>
                <w:rFonts w:hint="eastAsia"/>
                <w:color w:val="auto"/>
                <w:sz w:val="21"/>
                <w:szCs w:val="21"/>
              </w:rPr>
              <w:t>5、应包含改善作业条件、降低劳动强度、节约人力资源等内容。</w:t>
            </w:r>
          </w:p>
        </w:tc>
      </w:tr>
      <w:tr w14:paraId="227C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34F773C9">
            <w:pPr>
              <w:spacing w:line="240" w:lineRule="auto"/>
              <w:ind w:firstLine="0" w:firstLineChars="0"/>
              <w:jc w:val="center"/>
              <w:rPr>
                <w:rFonts w:hint="eastAsia"/>
                <w:color w:val="auto"/>
                <w:sz w:val="21"/>
                <w:szCs w:val="21"/>
              </w:rPr>
            </w:pPr>
            <w:r>
              <w:rPr>
                <w:rFonts w:hint="eastAsia"/>
                <w:color w:val="auto"/>
                <w:sz w:val="21"/>
                <w:szCs w:val="21"/>
              </w:rPr>
              <w:t>4</w:t>
            </w:r>
          </w:p>
        </w:tc>
        <w:tc>
          <w:tcPr>
            <w:tcW w:w="4550" w:type="pct"/>
            <w:tcBorders>
              <w:top w:val="single" w:color="auto" w:sz="4" w:space="0"/>
              <w:left w:val="nil"/>
              <w:bottom w:val="single" w:color="auto" w:sz="4" w:space="0"/>
              <w:right w:val="single" w:color="auto" w:sz="4" w:space="0"/>
            </w:tcBorders>
            <w:noWrap w:val="0"/>
            <w:vAlign w:val="center"/>
          </w:tcPr>
          <w:p w14:paraId="03074E6E">
            <w:pPr>
              <w:spacing w:line="240" w:lineRule="auto"/>
              <w:ind w:firstLine="420"/>
              <w:rPr>
                <w:rFonts w:hint="eastAsia"/>
                <w:color w:val="auto"/>
                <w:sz w:val="21"/>
                <w:szCs w:val="21"/>
              </w:rPr>
            </w:pPr>
            <w:r>
              <w:rPr>
                <w:rFonts w:hint="eastAsia"/>
                <w:color w:val="auto"/>
                <w:sz w:val="21"/>
                <w:szCs w:val="21"/>
              </w:rPr>
              <w:t>施工单位建立建筑材料数据库，应采用绿色性能相对优良的建筑材料。</w:t>
            </w:r>
          </w:p>
        </w:tc>
      </w:tr>
      <w:tr w14:paraId="4167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3698E4A4">
            <w:pPr>
              <w:spacing w:line="240" w:lineRule="auto"/>
              <w:ind w:firstLine="0" w:firstLineChars="0"/>
              <w:jc w:val="center"/>
              <w:rPr>
                <w:rFonts w:hint="eastAsia"/>
                <w:color w:val="auto"/>
                <w:sz w:val="21"/>
                <w:szCs w:val="21"/>
              </w:rPr>
            </w:pPr>
            <w:r>
              <w:rPr>
                <w:rFonts w:hint="eastAsia"/>
                <w:color w:val="auto"/>
                <w:sz w:val="21"/>
                <w:szCs w:val="21"/>
              </w:rPr>
              <w:t>5</w:t>
            </w:r>
          </w:p>
        </w:tc>
        <w:tc>
          <w:tcPr>
            <w:tcW w:w="4550" w:type="pct"/>
            <w:tcBorders>
              <w:top w:val="single" w:color="auto" w:sz="4" w:space="0"/>
              <w:left w:val="nil"/>
              <w:bottom w:val="single" w:color="auto" w:sz="4" w:space="0"/>
              <w:right w:val="single" w:color="auto" w:sz="4" w:space="0"/>
            </w:tcBorders>
            <w:noWrap w:val="0"/>
            <w:vAlign w:val="center"/>
          </w:tcPr>
          <w:p w14:paraId="3F13BA11">
            <w:pPr>
              <w:spacing w:line="240" w:lineRule="auto"/>
              <w:ind w:firstLine="420"/>
              <w:rPr>
                <w:rFonts w:hint="eastAsia"/>
                <w:color w:val="auto"/>
                <w:sz w:val="21"/>
                <w:szCs w:val="21"/>
              </w:rPr>
            </w:pPr>
            <w:r>
              <w:rPr>
                <w:rFonts w:hint="eastAsia"/>
                <w:color w:val="auto"/>
                <w:sz w:val="21"/>
                <w:szCs w:val="21"/>
              </w:rPr>
              <w:t>施工单位宜建立施工机械设备数据库。应根据现场和周边环境情况，对施工机械和设备进行节能、减排和降耗指标分析和比较，采用高性能、低噪音和低能耗的机械设备。</w:t>
            </w:r>
          </w:p>
        </w:tc>
      </w:tr>
      <w:tr w14:paraId="7809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3536B8CC">
            <w:pPr>
              <w:spacing w:line="240" w:lineRule="auto"/>
              <w:ind w:firstLine="0" w:firstLineChars="0"/>
              <w:jc w:val="center"/>
              <w:rPr>
                <w:rFonts w:hint="eastAsia"/>
                <w:color w:val="auto"/>
                <w:sz w:val="21"/>
                <w:szCs w:val="21"/>
              </w:rPr>
            </w:pPr>
            <w:r>
              <w:rPr>
                <w:rFonts w:hint="eastAsia"/>
                <w:color w:val="auto"/>
                <w:sz w:val="21"/>
                <w:szCs w:val="21"/>
              </w:rPr>
              <w:t>6</w:t>
            </w:r>
          </w:p>
        </w:tc>
        <w:tc>
          <w:tcPr>
            <w:tcW w:w="4550" w:type="pct"/>
            <w:tcBorders>
              <w:top w:val="single" w:color="auto" w:sz="4" w:space="0"/>
              <w:left w:val="nil"/>
              <w:bottom w:val="single" w:color="auto" w:sz="4" w:space="0"/>
              <w:right w:val="single" w:color="auto" w:sz="4" w:space="0"/>
            </w:tcBorders>
            <w:noWrap w:val="0"/>
            <w:vAlign w:val="center"/>
          </w:tcPr>
          <w:p w14:paraId="2CC63A01">
            <w:pPr>
              <w:spacing w:line="240" w:lineRule="auto"/>
              <w:ind w:firstLine="420"/>
              <w:rPr>
                <w:rFonts w:hint="eastAsia"/>
                <w:color w:val="auto"/>
                <w:sz w:val="21"/>
                <w:szCs w:val="21"/>
              </w:rPr>
            </w:pPr>
            <w:r>
              <w:rPr>
                <w:rFonts w:hint="eastAsia"/>
                <w:color w:val="auto"/>
                <w:sz w:val="21"/>
                <w:szCs w:val="21"/>
              </w:rPr>
              <w:t>在绿色施工评价前，依据工程项目环境影响因素分析情况，应对绿色施工评价要素中一般项和优选项的条目数进行相应调整，并经工程项目建设和监理方确认后，作为绿色施工的相应评价依据。</w:t>
            </w:r>
          </w:p>
        </w:tc>
      </w:tr>
    </w:tbl>
    <w:p w14:paraId="4A04A5D9">
      <w:pPr>
        <w:ind w:firstLine="480"/>
        <w:rPr>
          <w:rFonts w:hint="eastAsia"/>
          <w:color w:val="auto"/>
        </w:rPr>
      </w:pPr>
      <w:r>
        <w:rPr>
          <w:rFonts w:hint="eastAsia"/>
          <w:color w:val="auto"/>
        </w:rPr>
        <w:t>2、施工场地</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257"/>
        <w:gridCol w:w="7195"/>
      </w:tblGrid>
      <w:tr w14:paraId="7477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09024A4">
            <w:pPr>
              <w:spacing w:line="240" w:lineRule="auto"/>
              <w:ind w:firstLine="0" w:firstLineChars="0"/>
              <w:jc w:val="center"/>
              <w:rPr>
                <w:rFonts w:hint="eastAsia"/>
                <w:color w:val="auto"/>
                <w:sz w:val="21"/>
                <w:szCs w:val="21"/>
              </w:rPr>
            </w:pPr>
            <w:r>
              <w:rPr>
                <w:rFonts w:hint="eastAsia"/>
                <w:color w:val="auto"/>
                <w:sz w:val="21"/>
                <w:szCs w:val="21"/>
              </w:rPr>
              <w:t>序号</w:t>
            </w:r>
          </w:p>
        </w:tc>
        <w:tc>
          <w:tcPr>
            <w:tcW w:w="677" w:type="pct"/>
            <w:tcBorders>
              <w:top w:val="single" w:color="auto" w:sz="4" w:space="0"/>
              <w:left w:val="nil"/>
              <w:bottom w:val="single" w:color="auto" w:sz="4" w:space="0"/>
              <w:right w:val="single" w:color="auto" w:sz="4" w:space="0"/>
            </w:tcBorders>
            <w:noWrap w:val="0"/>
            <w:vAlign w:val="center"/>
          </w:tcPr>
          <w:p w14:paraId="0A6CFAD5">
            <w:pPr>
              <w:spacing w:line="240" w:lineRule="auto"/>
              <w:ind w:firstLine="0" w:firstLineChars="0"/>
              <w:jc w:val="center"/>
              <w:rPr>
                <w:rFonts w:hint="eastAsia"/>
                <w:color w:val="auto"/>
                <w:sz w:val="21"/>
                <w:szCs w:val="21"/>
              </w:rPr>
            </w:pPr>
            <w:r>
              <w:rPr>
                <w:rFonts w:hint="eastAsia"/>
                <w:color w:val="auto"/>
                <w:sz w:val="21"/>
                <w:szCs w:val="21"/>
              </w:rPr>
              <w:t>主要内容</w:t>
            </w:r>
          </w:p>
        </w:tc>
        <w:tc>
          <w:tcPr>
            <w:tcW w:w="3874" w:type="pct"/>
            <w:tcBorders>
              <w:top w:val="single" w:color="auto" w:sz="4" w:space="0"/>
              <w:left w:val="nil"/>
              <w:bottom w:val="single" w:color="auto" w:sz="4" w:space="0"/>
              <w:right w:val="single" w:color="auto" w:sz="4" w:space="0"/>
            </w:tcBorders>
            <w:noWrap w:val="0"/>
            <w:vAlign w:val="center"/>
          </w:tcPr>
          <w:p w14:paraId="3088E072">
            <w:pPr>
              <w:spacing w:line="240" w:lineRule="auto"/>
              <w:ind w:firstLine="0" w:firstLineChars="0"/>
              <w:jc w:val="center"/>
              <w:rPr>
                <w:rFonts w:hint="eastAsia"/>
                <w:color w:val="auto"/>
                <w:sz w:val="21"/>
                <w:szCs w:val="21"/>
              </w:rPr>
            </w:pPr>
            <w:r>
              <w:rPr>
                <w:rFonts w:hint="eastAsia"/>
                <w:color w:val="auto"/>
                <w:sz w:val="21"/>
                <w:szCs w:val="21"/>
              </w:rPr>
              <w:t>具体措施</w:t>
            </w:r>
          </w:p>
        </w:tc>
      </w:tr>
      <w:tr w14:paraId="04CB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6E72F00">
            <w:pPr>
              <w:spacing w:line="240" w:lineRule="auto"/>
              <w:ind w:firstLine="0" w:firstLineChars="0"/>
              <w:jc w:val="center"/>
              <w:rPr>
                <w:rFonts w:hint="eastAsia"/>
                <w:color w:val="auto"/>
                <w:sz w:val="21"/>
                <w:szCs w:val="21"/>
              </w:rPr>
            </w:pPr>
            <w:r>
              <w:rPr>
                <w:rFonts w:hint="eastAsia"/>
                <w:color w:val="auto"/>
                <w:sz w:val="21"/>
                <w:szCs w:val="21"/>
              </w:rPr>
              <w:t>1</w:t>
            </w:r>
          </w:p>
        </w:tc>
        <w:tc>
          <w:tcPr>
            <w:tcW w:w="677" w:type="pct"/>
            <w:tcBorders>
              <w:top w:val="single" w:color="auto" w:sz="4" w:space="0"/>
              <w:left w:val="nil"/>
              <w:bottom w:val="single" w:color="auto" w:sz="4" w:space="0"/>
              <w:right w:val="single" w:color="auto" w:sz="4" w:space="0"/>
            </w:tcBorders>
            <w:noWrap w:val="0"/>
            <w:vAlign w:val="center"/>
          </w:tcPr>
          <w:p w14:paraId="06D9CD31">
            <w:pPr>
              <w:spacing w:line="240" w:lineRule="auto"/>
              <w:ind w:firstLine="0" w:firstLineChars="0"/>
              <w:jc w:val="center"/>
              <w:rPr>
                <w:rFonts w:hint="eastAsia"/>
                <w:color w:val="auto"/>
                <w:sz w:val="21"/>
                <w:szCs w:val="21"/>
              </w:rPr>
            </w:pPr>
            <w:r>
              <w:rPr>
                <w:rFonts w:hint="eastAsia"/>
                <w:color w:val="auto"/>
                <w:sz w:val="21"/>
                <w:szCs w:val="21"/>
              </w:rPr>
              <w:t>一般规定</w:t>
            </w:r>
          </w:p>
        </w:tc>
        <w:tc>
          <w:tcPr>
            <w:tcW w:w="3874" w:type="pct"/>
            <w:tcBorders>
              <w:top w:val="single" w:color="auto" w:sz="4" w:space="0"/>
              <w:left w:val="nil"/>
              <w:bottom w:val="single" w:color="auto" w:sz="4" w:space="0"/>
              <w:right w:val="single" w:color="auto" w:sz="4" w:space="0"/>
            </w:tcBorders>
            <w:noWrap w:val="0"/>
            <w:vAlign w:val="center"/>
          </w:tcPr>
          <w:p w14:paraId="62B1D73F">
            <w:pPr>
              <w:spacing w:line="240" w:lineRule="auto"/>
              <w:ind w:firstLine="420"/>
              <w:rPr>
                <w:rFonts w:hint="eastAsia"/>
                <w:color w:val="auto"/>
                <w:sz w:val="21"/>
                <w:szCs w:val="21"/>
              </w:rPr>
            </w:pPr>
            <w:r>
              <w:rPr>
                <w:rFonts w:hint="eastAsia"/>
                <w:color w:val="auto"/>
                <w:sz w:val="21"/>
                <w:szCs w:val="21"/>
              </w:rPr>
              <w:t>1、在施工总平面设计时，应对施工场地、环境和条件进行分析，确定具体实施方案。</w:t>
            </w:r>
          </w:p>
          <w:p w14:paraId="2B33B9F8">
            <w:pPr>
              <w:spacing w:line="240" w:lineRule="auto"/>
              <w:ind w:firstLine="420"/>
              <w:rPr>
                <w:rFonts w:hint="eastAsia"/>
                <w:color w:val="auto"/>
                <w:sz w:val="21"/>
                <w:szCs w:val="21"/>
              </w:rPr>
            </w:pPr>
            <w:r>
              <w:rPr>
                <w:rFonts w:hint="eastAsia"/>
                <w:color w:val="auto"/>
                <w:sz w:val="21"/>
                <w:szCs w:val="21"/>
              </w:rPr>
              <w:t>2、施工总平面布置宜利用场地及周边现有和拟建建筑物、构筑物、道路和管线等。</w:t>
            </w:r>
          </w:p>
          <w:p w14:paraId="4980CB0A">
            <w:pPr>
              <w:spacing w:line="240" w:lineRule="auto"/>
              <w:ind w:firstLine="420"/>
              <w:rPr>
                <w:rFonts w:hint="eastAsia"/>
                <w:color w:val="auto"/>
                <w:sz w:val="21"/>
                <w:szCs w:val="21"/>
              </w:rPr>
            </w:pPr>
            <w:r>
              <w:rPr>
                <w:rFonts w:hint="eastAsia"/>
                <w:color w:val="auto"/>
                <w:sz w:val="21"/>
                <w:szCs w:val="21"/>
              </w:rPr>
              <w:t>3、施工前应制定合理的场地使用计划；施工中应减少场地干扰，保护环境。</w:t>
            </w:r>
          </w:p>
          <w:p w14:paraId="43AD5124">
            <w:pPr>
              <w:spacing w:line="240" w:lineRule="auto"/>
              <w:ind w:firstLine="420"/>
              <w:rPr>
                <w:rFonts w:hint="eastAsia"/>
                <w:color w:val="auto"/>
                <w:sz w:val="21"/>
                <w:szCs w:val="21"/>
              </w:rPr>
            </w:pPr>
            <w:r>
              <w:rPr>
                <w:rFonts w:hint="eastAsia"/>
                <w:color w:val="auto"/>
                <w:sz w:val="21"/>
                <w:szCs w:val="21"/>
              </w:rPr>
              <w:t>4、临时设施的占地面积按最低面积指标设计，有效使用临时设施用地。</w:t>
            </w:r>
          </w:p>
          <w:p w14:paraId="098FE9C0">
            <w:pPr>
              <w:spacing w:line="240" w:lineRule="auto"/>
              <w:ind w:firstLine="420"/>
              <w:rPr>
                <w:rFonts w:hint="eastAsia"/>
                <w:color w:val="auto"/>
                <w:sz w:val="21"/>
                <w:szCs w:val="21"/>
              </w:rPr>
            </w:pPr>
            <w:r>
              <w:rPr>
                <w:rFonts w:hint="eastAsia"/>
                <w:color w:val="auto"/>
                <w:sz w:val="21"/>
                <w:szCs w:val="21"/>
              </w:rPr>
              <w:t>5、塔吊等垂直运输设施基座宜利用在建工程的结构。</w:t>
            </w:r>
          </w:p>
        </w:tc>
      </w:tr>
      <w:tr w14:paraId="6DB6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6195DFC">
            <w:pPr>
              <w:spacing w:line="240" w:lineRule="auto"/>
              <w:ind w:firstLine="0" w:firstLineChars="0"/>
              <w:jc w:val="center"/>
              <w:rPr>
                <w:rFonts w:hint="eastAsia"/>
                <w:color w:val="auto"/>
                <w:sz w:val="21"/>
                <w:szCs w:val="21"/>
              </w:rPr>
            </w:pPr>
            <w:r>
              <w:rPr>
                <w:rFonts w:hint="eastAsia"/>
                <w:color w:val="auto"/>
                <w:sz w:val="21"/>
                <w:szCs w:val="21"/>
              </w:rPr>
              <w:t>2</w:t>
            </w:r>
          </w:p>
        </w:tc>
        <w:tc>
          <w:tcPr>
            <w:tcW w:w="677" w:type="pct"/>
            <w:tcBorders>
              <w:top w:val="single" w:color="auto" w:sz="4" w:space="0"/>
              <w:left w:val="nil"/>
              <w:bottom w:val="single" w:color="auto" w:sz="4" w:space="0"/>
              <w:right w:val="single" w:color="auto" w:sz="4" w:space="0"/>
            </w:tcBorders>
            <w:noWrap w:val="0"/>
            <w:vAlign w:val="center"/>
          </w:tcPr>
          <w:p w14:paraId="415AF6DA">
            <w:pPr>
              <w:spacing w:line="240" w:lineRule="auto"/>
              <w:ind w:firstLine="0" w:firstLineChars="0"/>
              <w:jc w:val="center"/>
              <w:rPr>
                <w:rFonts w:hint="eastAsia"/>
                <w:color w:val="auto"/>
                <w:sz w:val="21"/>
                <w:szCs w:val="21"/>
              </w:rPr>
            </w:pPr>
            <w:r>
              <w:rPr>
                <w:rFonts w:hint="eastAsia"/>
                <w:color w:val="auto"/>
                <w:sz w:val="21"/>
                <w:szCs w:val="21"/>
              </w:rPr>
              <w:t>施工总平面布置</w:t>
            </w:r>
          </w:p>
        </w:tc>
        <w:tc>
          <w:tcPr>
            <w:tcW w:w="3874" w:type="pct"/>
            <w:tcBorders>
              <w:top w:val="single" w:color="auto" w:sz="4" w:space="0"/>
              <w:left w:val="nil"/>
              <w:bottom w:val="single" w:color="auto" w:sz="4" w:space="0"/>
              <w:right w:val="single" w:color="auto" w:sz="4" w:space="0"/>
            </w:tcBorders>
            <w:noWrap w:val="0"/>
            <w:vAlign w:val="center"/>
          </w:tcPr>
          <w:p w14:paraId="44DE59AF">
            <w:pPr>
              <w:spacing w:line="240" w:lineRule="auto"/>
              <w:ind w:firstLine="420"/>
              <w:rPr>
                <w:rFonts w:hint="eastAsia"/>
                <w:color w:val="auto"/>
                <w:sz w:val="21"/>
                <w:szCs w:val="21"/>
              </w:rPr>
            </w:pPr>
            <w:r>
              <w:rPr>
                <w:rFonts w:hint="eastAsia"/>
                <w:color w:val="auto"/>
                <w:sz w:val="21"/>
                <w:szCs w:val="21"/>
              </w:rPr>
              <w:t>1、施工现场平面布置应符合下列原则：</w:t>
            </w:r>
          </w:p>
          <w:p w14:paraId="214936A1">
            <w:pPr>
              <w:spacing w:line="240" w:lineRule="auto"/>
              <w:ind w:firstLine="420"/>
              <w:rPr>
                <w:rFonts w:hint="eastAsia"/>
                <w:color w:val="auto"/>
                <w:sz w:val="21"/>
                <w:szCs w:val="21"/>
              </w:rPr>
            </w:pPr>
            <w:r>
              <w:rPr>
                <w:rFonts w:hint="eastAsia"/>
                <w:color w:val="auto"/>
                <w:sz w:val="21"/>
                <w:szCs w:val="21"/>
              </w:rPr>
              <w:t>（1）在满足施工需要前提下，应减少施工用地；</w:t>
            </w:r>
          </w:p>
          <w:p w14:paraId="632BA61F">
            <w:pPr>
              <w:spacing w:line="240" w:lineRule="auto"/>
              <w:ind w:firstLine="420"/>
              <w:rPr>
                <w:rFonts w:hint="eastAsia"/>
                <w:color w:val="auto"/>
                <w:sz w:val="21"/>
                <w:szCs w:val="21"/>
              </w:rPr>
            </w:pPr>
            <w:r>
              <w:rPr>
                <w:rFonts w:hint="eastAsia"/>
                <w:color w:val="auto"/>
                <w:sz w:val="21"/>
                <w:szCs w:val="21"/>
              </w:rPr>
              <w:t>（2）应合理布置起重机械和各项施工设施，统筹规划施工道路；</w:t>
            </w:r>
          </w:p>
          <w:p w14:paraId="3879FBAB">
            <w:pPr>
              <w:spacing w:line="240" w:lineRule="auto"/>
              <w:ind w:firstLine="420"/>
              <w:rPr>
                <w:rFonts w:hint="eastAsia"/>
                <w:color w:val="auto"/>
                <w:sz w:val="21"/>
                <w:szCs w:val="21"/>
              </w:rPr>
            </w:pPr>
            <w:r>
              <w:rPr>
                <w:rFonts w:hint="eastAsia"/>
                <w:color w:val="auto"/>
                <w:sz w:val="21"/>
                <w:szCs w:val="21"/>
              </w:rPr>
              <w:t>（3）应合理划分施工分区和流水段，减少专业工种之间交叉作业。</w:t>
            </w:r>
          </w:p>
          <w:p w14:paraId="07CB9299">
            <w:pPr>
              <w:spacing w:line="240" w:lineRule="auto"/>
              <w:ind w:firstLine="420"/>
              <w:rPr>
                <w:rFonts w:hint="eastAsia"/>
                <w:color w:val="auto"/>
                <w:sz w:val="21"/>
                <w:szCs w:val="21"/>
              </w:rPr>
            </w:pPr>
            <w:r>
              <w:rPr>
                <w:rFonts w:hint="eastAsia"/>
                <w:color w:val="auto"/>
                <w:sz w:val="21"/>
                <w:szCs w:val="21"/>
              </w:rPr>
              <w:t>2、施工现场平面布置根据施工各阶段的特点和要求，实行动态管理。</w:t>
            </w:r>
          </w:p>
          <w:p w14:paraId="7CCA385B">
            <w:pPr>
              <w:spacing w:line="240" w:lineRule="auto"/>
              <w:ind w:firstLine="420"/>
              <w:rPr>
                <w:rFonts w:hint="eastAsia"/>
                <w:color w:val="auto"/>
                <w:sz w:val="21"/>
                <w:szCs w:val="21"/>
              </w:rPr>
            </w:pPr>
            <w:r>
              <w:rPr>
                <w:rFonts w:hint="eastAsia"/>
                <w:color w:val="auto"/>
                <w:sz w:val="21"/>
                <w:szCs w:val="21"/>
              </w:rPr>
              <w:t>3、施工现场生产区、办公区和生活区应实现相对隔离。</w:t>
            </w:r>
          </w:p>
          <w:p w14:paraId="4AFCA357">
            <w:pPr>
              <w:spacing w:line="240" w:lineRule="auto"/>
              <w:ind w:firstLine="420"/>
              <w:rPr>
                <w:rFonts w:hint="eastAsia"/>
                <w:color w:val="auto"/>
                <w:sz w:val="21"/>
                <w:szCs w:val="21"/>
              </w:rPr>
            </w:pPr>
            <w:r>
              <w:rPr>
                <w:rFonts w:hint="eastAsia"/>
                <w:color w:val="auto"/>
                <w:sz w:val="21"/>
                <w:szCs w:val="21"/>
              </w:rPr>
              <w:t>4、施工现场作业棚、库房、材料堆场等布置宜靠近交通线路和主要用料部位。</w:t>
            </w:r>
          </w:p>
          <w:p w14:paraId="05C15D75">
            <w:pPr>
              <w:spacing w:line="240" w:lineRule="auto"/>
              <w:ind w:firstLine="420"/>
              <w:rPr>
                <w:rFonts w:hint="eastAsia"/>
                <w:color w:val="auto"/>
                <w:sz w:val="21"/>
                <w:szCs w:val="21"/>
              </w:rPr>
            </w:pPr>
            <w:r>
              <w:rPr>
                <w:rFonts w:hint="eastAsia"/>
                <w:color w:val="auto"/>
                <w:sz w:val="21"/>
                <w:szCs w:val="21"/>
              </w:rPr>
              <w:t>5、施工现场的强噪声机械设备宜远离噪声敏感区。</w:t>
            </w:r>
          </w:p>
        </w:tc>
      </w:tr>
      <w:tr w14:paraId="5395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119A76D">
            <w:pPr>
              <w:spacing w:line="240" w:lineRule="auto"/>
              <w:ind w:firstLine="0" w:firstLineChars="0"/>
              <w:jc w:val="center"/>
              <w:rPr>
                <w:rFonts w:hint="eastAsia"/>
                <w:color w:val="auto"/>
                <w:sz w:val="21"/>
                <w:szCs w:val="21"/>
              </w:rPr>
            </w:pPr>
            <w:r>
              <w:rPr>
                <w:rFonts w:hint="eastAsia"/>
                <w:color w:val="auto"/>
                <w:sz w:val="21"/>
                <w:szCs w:val="21"/>
              </w:rPr>
              <w:t>3</w:t>
            </w:r>
          </w:p>
        </w:tc>
        <w:tc>
          <w:tcPr>
            <w:tcW w:w="677" w:type="pct"/>
            <w:tcBorders>
              <w:top w:val="single" w:color="auto" w:sz="4" w:space="0"/>
              <w:left w:val="nil"/>
              <w:bottom w:val="single" w:color="auto" w:sz="4" w:space="0"/>
              <w:right w:val="single" w:color="auto" w:sz="4" w:space="0"/>
            </w:tcBorders>
            <w:noWrap w:val="0"/>
            <w:vAlign w:val="center"/>
          </w:tcPr>
          <w:p w14:paraId="3AC3828F">
            <w:pPr>
              <w:spacing w:line="240" w:lineRule="auto"/>
              <w:ind w:firstLine="0" w:firstLineChars="0"/>
              <w:jc w:val="center"/>
              <w:rPr>
                <w:rFonts w:hint="eastAsia"/>
                <w:color w:val="auto"/>
                <w:sz w:val="21"/>
                <w:szCs w:val="21"/>
              </w:rPr>
            </w:pPr>
            <w:r>
              <w:rPr>
                <w:rFonts w:hint="eastAsia"/>
                <w:color w:val="auto"/>
                <w:sz w:val="21"/>
                <w:szCs w:val="21"/>
              </w:rPr>
              <w:t>场区围护及道路</w:t>
            </w:r>
          </w:p>
        </w:tc>
        <w:tc>
          <w:tcPr>
            <w:tcW w:w="3874" w:type="pct"/>
            <w:tcBorders>
              <w:top w:val="single" w:color="auto" w:sz="4" w:space="0"/>
              <w:left w:val="nil"/>
              <w:bottom w:val="single" w:color="auto" w:sz="4" w:space="0"/>
              <w:right w:val="single" w:color="auto" w:sz="4" w:space="0"/>
            </w:tcBorders>
            <w:noWrap w:val="0"/>
            <w:vAlign w:val="center"/>
          </w:tcPr>
          <w:p w14:paraId="586B12FF">
            <w:pPr>
              <w:spacing w:line="240" w:lineRule="auto"/>
              <w:ind w:firstLine="420"/>
              <w:rPr>
                <w:rFonts w:hint="eastAsia"/>
                <w:color w:val="auto"/>
                <w:sz w:val="21"/>
                <w:szCs w:val="21"/>
              </w:rPr>
            </w:pPr>
            <w:r>
              <w:rPr>
                <w:rFonts w:hint="eastAsia"/>
                <w:color w:val="auto"/>
                <w:sz w:val="21"/>
                <w:szCs w:val="21"/>
              </w:rPr>
              <w:t>1、施工现场大门、围挡和围墙宜采用可重复利用的材料和部件，并应工具化、标准化。</w:t>
            </w:r>
          </w:p>
          <w:p w14:paraId="4EB6BFF4">
            <w:pPr>
              <w:spacing w:line="240" w:lineRule="auto"/>
              <w:ind w:firstLine="420"/>
              <w:rPr>
                <w:rFonts w:hint="eastAsia"/>
                <w:color w:val="auto"/>
                <w:sz w:val="21"/>
                <w:szCs w:val="21"/>
              </w:rPr>
            </w:pPr>
            <w:r>
              <w:rPr>
                <w:rFonts w:hint="eastAsia"/>
                <w:color w:val="auto"/>
                <w:sz w:val="21"/>
                <w:szCs w:val="21"/>
              </w:rPr>
              <w:t>2、施工现场入口应设置绿色施工制度图牌。</w:t>
            </w:r>
          </w:p>
          <w:p w14:paraId="42AE2E1D">
            <w:pPr>
              <w:spacing w:line="240" w:lineRule="auto"/>
              <w:ind w:firstLine="420"/>
              <w:rPr>
                <w:rFonts w:hint="eastAsia"/>
                <w:color w:val="auto"/>
                <w:sz w:val="21"/>
                <w:szCs w:val="21"/>
              </w:rPr>
            </w:pPr>
            <w:r>
              <w:rPr>
                <w:rFonts w:hint="eastAsia"/>
                <w:color w:val="auto"/>
                <w:sz w:val="21"/>
                <w:szCs w:val="21"/>
              </w:rPr>
              <w:t>3、施工现场道路布置应遵循永久道路和临时道路相结合的原则。</w:t>
            </w:r>
          </w:p>
          <w:p w14:paraId="1B3562BA">
            <w:pPr>
              <w:spacing w:line="240" w:lineRule="auto"/>
              <w:ind w:firstLine="420"/>
              <w:rPr>
                <w:rFonts w:hint="eastAsia"/>
                <w:color w:val="auto"/>
                <w:sz w:val="21"/>
                <w:szCs w:val="21"/>
              </w:rPr>
            </w:pPr>
            <w:r>
              <w:rPr>
                <w:rFonts w:hint="eastAsia"/>
                <w:color w:val="auto"/>
                <w:sz w:val="21"/>
                <w:szCs w:val="21"/>
              </w:rPr>
              <w:t>4、施工现场部分道路的硬化处理可采用可周转使用的材料和构件。</w:t>
            </w:r>
          </w:p>
          <w:p w14:paraId="60E601D8">
            <w:pPr>
              <w:spacing w:line="240" w:lineRule="auto"/>
              <w:ind w:firstLine="420"/>
              <w:rPr>
                <w:rFonts w:hint="eastAsia"/>
                <w:color w:val="auto"/>
                <w:sz w:val="21"/>
                <w:szCs w:val="21"/>
              </w:rPr>
            </w:pPr>
            <w:r>
              <w:rPr>
                <w:rFonts w:hint="eastAsia"/>
                <w:color w:val="auto"/>
                <w:sz w:val="21"/>
                <w:szCs w:val="21"/>
              </w:rPr>
              <w:t>5、施工现场围墙、大门和施工道路周边宜设绿化隔离带。</w:t>
            </w:r>
          </w:p>
        </w:tc>
      </w:tr>
      <w:tr w14:paraId="1574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8AFC827">
            <w:pPr>
              <w:spacing w:line="240" w:lineRule="auto"/>
              <w:ind w:firstLine="0" w:firstLineChars="0"/>
              <w:jc w:val="center"/>
              <w:rPr>
                <w:rFonts w:hint="eastAsia"/>
                <w:color w:val="auto"/>
                <w:sz w:val="21"/>
                <w:szCs w:val="21"/>
              </w:rPr>
            </w:pPr>
            <w:r>
              <w:rPr>
                <w:rFonts w:hint="eastAsia"/>
                <w:color w:val="auto"/>
                <w:sz w:val="21"/>
                <w:szCs w:val="21"/>
              </w:rPr>
              <w:t>4</w:t>
            </w:r>
          </w:p>
        </w:tc>
        <w:tc>
          <w:tcPr>
            <w:tcW w:w="677" w:type="pct"/>
            <w:tcBorders>
              <w:top w:val="single" w:color="auto" w:sz="4" w:space="0"/>
              <w:left w:val="nil"/>
              <w:bottom w:val="single" w:color="auto" w:sz="4" w:space="0"/>
              <w:right w:val="single" w:color="auto" w:sz="4" w:space="0"/>
            </w:tcBorders>
            <w:noWrap w:val="0"/>
            <w:vAlign w:val="center"/>
          </w:tcPr>
          <w:p w14:paraId="09D08C1D">
            <w:pPr>
              <w:spacing w:line="240" w:lineRule="auto"/>
              <w:ind w:firstLine="0" w:firstLineChars="0"/>
              <w:jc w:val="center"/>
              <w:rPr>
                <w:rFonts w:hint="eastAsia"/>
                <w:color w:val="auto"/>
                <w:sz w:val="21"/>
                <w:szCs w:val="21"/>
              </w:rPr>
            </w:pPr>
            <w:r>
              <w:rPr>
                <w:rFonts w:hint="eastAsia"/>
                <w:color w:val="auto"/>
                <w:sz w:val="21"/>
                <w:szCs w:val="21"/>
              </w:rPr>
              <w:t>临时设施</w:t>
            </w:r>
          </w:p>
        </w:tc>
        <w:tc>
          <w:tcPr>
            <w:tcW w:w="3874" w:type="pct"/>
            <w:tcBorders>
              <w:top w:val="single" w:color="auto" w:sz="4" w:space="0"/>
              <w:left w:val="nil"/>
              <w:bottom w:val="single" w:color="auto" w:sz="4" w:space="0"/>
              <w:right w:val="single" w:color="auto" w:sz="4" w:space="0"/>
            </w:tcBorders>
            <w:noWrap w:val="0"/>
            <w:vAlign w:val="center"/>
          </w:tcPr>
          <w:p w14:paraId="4EC4DE97">
            <w:pPr>
              <w:spacing w:line="240" w:lineRule="auto"/>
              <w:ind w:firstLine="420"/>
              <w:rPr>
                <w:rFonts w:hint="eastAsia"/>
                <w:color w:val="auto"/>
                <w:sz w:val="21"/>
                <w:szCs w:val="21"/>
              </w:rPr>
            </w:pPr>
            <w:r>
              <w:rPr>
                <w:rFonts w:hint="eastAsia"/>
                <w:color w:val="auto"/>
                <w:sz w:val="21"/>
                <w:szCs w:val="21"/>
              </w:rPr>
              <w:t>1、临时设施的设计、布置和使用，应采取有效的节能降耗措施，并符合下列规定：</w:t>
            </w:r>
          </w:p>
          <w:p w14:paraId="2D0997E7">
            <w:pPr>
              <w:spacing w:line="240" w:lineRule="auto"/>
              <w:ind w:firstLine="420"/>
              <w:rPr>
                <w:rFonts w:hint="eastAsia"/>
                <w:color w:val="auto"/>
                <w:sz w:val="21"/>
                <w:szCs w:val="21"/>
              </w:rPr>
            </w:pPr>
            <w:r>
              <w:rPr>
                <w:rFonts w:hint="eastAsia"/>
                <w:color w:val="auto"/>
                <w:sz w:val="21"/>
                <w:szCs w:val="21"/>
              </w:rPr>
              <w:t>（1）应利用场地自然条件，临时建筑的体形宜规整，应有自然通风和采光，并应满足节能要求；</w:t>
            </w:r>
          </w:p>
          <w:p w14:paraId="17A6DBAA">
            <w:pPr>
              <w:spacing w:line="240" w:lineRule="auto"/>
              <w:ind w:firstLine="420"/>
              <w:rPr>
                <w:rFonts w:hint="eastAsia"/>
                <w:color w:val="auto"/>
                <w:sz w:val="21"/>
                <w:szCs w:val="21"/>
              </w:rPr>
            </w:pPr>
            <w:r>
              <w:rPr>
                <w:rFonts w:hint="eastAsia"/>
                <w:color w:val="auto"/>
                <w:sz w:val="21"/>
                <w:szCs w:val="21"/>
              </w:rPr>
              <w:t>（2）临时设施宜选用由高效保温、隔热、防火材料制成的复合墙体和屋面，以及密封保温隔热性能好的门窗；</w:t>
            </w:r>
          </w:p>
          <w:p w14:paraId="24304EED">
            <w:pPr>
              <w:spacing w:line="240" w:lineRule="auto"/>
              <w:ind w:firstLine="420"/>
              <w:rPr>
                <w:rFonts w:hint="eastAsia"/>
                <w:color w:val="auto"/>
                <w:sz w:val="21"/>
                <w:szCs w:val="21"/>
              </w:rPr>
            </w:pPr>
            <w:r>
              <w:rPr>
                <w:rFonts w:hint="eastAsia"/>
                <w:color w:val="auto"/>
                <w:sz w:val="21"/>
                <w:szCs w:val="21"/>
              </w:rPr>
              <w:t>（3）临时设施建设不宜使用一次性墙体材料。</w:t>
            </w:r>
          </w:p>
          <w:p w14:paraId="5C848B55">
            <w:pPr>
              <w:spacing w:line="240" w:lineRule="auto"/>
              <w:ind w:firstLine="420"/>
              <w:rPr>
                <w:rFonts w:hint="eastAsia"/>
                <w:color w:val="auto"/>
                <w:sz w:val="21"/>
                <w:szCs w:val="21"/>
              </w:rPr>
            </w:pPr>
            <w:r>
              <w:rPr>
                <w:rFonts w:hint="eastAsia"/>
                <w:color w:val="auto"/>
                <w:sz w:val="21"/>
                <w:szCs w:val="21"/>
              </w:rPr>
              <w:t>2、办公和生活临时用房应采用可重复利用的房屋。</w:t>
            </w:r>
          </w:p>
          <w:p w14:paraId="2CD8856C">
            <w:pPr>
              <w:spacing w:line="240" w:lineRule="auto"/>
              <w:ind w:firstLine="420"/>
              <w:rPr>
                <w:rFonts w:hint="eastAsia"/>
                <w:color w:val="auto"/>
                <w:sz w:val="21"/>
                <w:szCs w:val="21"/>
              </w:rPr>
            </w:pPr>
            <w:r>
              <w:rPr>
                <w:rFonts w:hint="eastAsia"/>
                <w:color w:val="auto"/>
                <w:sz w:val="21"/>
                <w:szCs w:val="21"/>
              </w:rPr>
              <w:t>3、塔楼高层建筑内可设置临时可周转卫生间。</w:t>
            </w:r>
          </w:p>
          <w:p w14:paraId="775825B6">
            <w:pPr>
              <w:spacing w:line="240" w:lineRule="auto"/>
              <w:ind w:firstLine="420"/>
              <w:rPr>
                <w:rFonts w:hint="eastAsia"/>
                <w:color w:val="auto"/>
                <w:sz w:val="21"/>
                <w:szCs w:val="21"/>
              </w:rPr>
            </w:pPr>
            <w:r>
              <w:rPr>
                <w:rFonts w:hint="eastAsia"/>
                <w:color w:val="auto"/>
                <w:sz w:val="21"/>
                <w:szCs w:val="21"/>
              </w:rPr>
              <w:t>4、施工现场临时防护等设施宜采用周转率高的定性防护材料。</w:t>
            </w:r>
          </w:p>
        </w:tc>
      </w:tr>
    </w:tbl>
    <w:p w14:paraId="2AFFDDA4">
      <w:pPr>
        <w:ind w:firstLine="480"/>
        <w:rPr>
          <w:rFonts w:hint="eastAsia"/>
          <w:color w:val="auto"/>
        </w:rPr>
      </w:pPr>
      <w:r>
        <w:rPr>
          <w:rFonts w:hint="eastAsia"/>
          <w:color w:val="auto"/>
        </w:rPr>
        <w:t>3、主体结构工程</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428"/>
        <w:gridCol w:w="7024"/>
      </w:tblGrid>
      <w:tr w14:paraId="17CE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7B805CA">
            <w:pPr>
              <w:spacing w:line="240" w:lineRule="auto"/>
              <w:ind w:firstLine="0" w:firstLineChars="0"/>
              <w:jc w:val="center"/>
              <w:rPr>
                <w:rFonts w:hint="eastAsia"/>
                <w:color w:val="auto"/>
                <w:sz w:val="21"/>
                <w:szCs w:val="21"/>
              </w:rPr>
            </w:pPr>
            <w:r>
              <w:rPr>
                <w:rFonts w:hint="eastAsia"/>
                <w:color w:val="auto"/>
                <w:sz w:val="21"/>
                <w:szCs w:val="21"/>
              </w:rPr>
              <w:t>序号</w:t>
            </w:r>
          </w:p>
        </w:tc>
        <w:tc>
          <w:tcPr>
            <w:tcW w:w="769" w:type="pct"/>
            <w:tcBorders>
              <w:top w:val="single" w:color="auto" w:sz="4" w:space="0"/>
              <w:left w:val="nil"/>
              <w:bottom w:val="single" w:color="auto" w:sz="4" w:space="0"/>
              <w:right w:val="single" w:color="auto" w:sz="4" w:space="0"/>
            </w:tcBorders>
            <w:noWrap w:val="0"/>
            <w:vAlign w:val="center"/>
          </w:tcPr>
          <w:p w14:paraId="64CD1892">
            <w:pPr>
              <w:spacing w:line="240" w:lineRule="auto"/>
              <w:ind w:firstLine="0" w:firstLineChars="0"/>
              <w:jc w:val="center"/>
              <w:rPr>
                <w:rFonts w:hint="eastAsia"/>
                <w:color w:val="auto"/>
                <w:sz w:val="21"/>
                <w:szCs w:val="21"/>
              </w:rPr>
            </w:pPr>
            <w:r>
              <w:rPr>
                <w:rFonts w:hint="eastAsia"/>
                <w:color w:val="auto"/>
                <w:sz w:val="21"/>
                <w:szCs w:val="21"/>
              </w:rPr>
              <w:t>主要内容</w:t>
            </w:r>
          </w:p>
        </w:tc>
        <w:tc>
          <w:tcPr>
            <w:tcW w:w="3782" w:type="pct"/>
            <w:tcBorders>
              <w:top w:val="single" w:color="auto" w:sz="4" w:space="0"/>
              <w:left w:val="nil"/>
              <w:bottom w:val="single" w:color="auto" w:sz="4" w:space="0"/>
              <w:right w:val="single" w:color="auto" w:sz="4" w:space="0"/>
            </w:tcBorders>
            <w:noWrap w:val="0"/>
            <w:vAlign w:val="center"/>
          </w:tcPr>
          <w:p w14:paraId="53FB25E0">
            <w:pPr>
              <w:spacing w:line="240" w:lineRule="auto"/>
              <w:ind w:firstLine="0" w:firstLineChars="0"/>
              <w:jc w:val="center"/>
              <w:rPr>
                <w:rFonts w:hint="eastAsia"/>
                <w:color w:val="auto"/>
                <w:sz w:val="21"/>
                <w:szCs w:val="21"/>
              </w:rPr>
            </w:pPr>
            <w:r>
              <w:rPr>
                <w:rFonts w:hint="eastAsia"/>
                <w:color w:val="auto"/>
                <w:sz w:val="21"/>
                <w:szCs w:val="21"/>
              </w:rPr>
              <w:t>具体措施</w:t>
            </w:r>
          </w:p>
        </w:tc>
      </w:tr>
      <w:tr w14:paraId="7020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065A6F4">
            <w:pPr>
              <w:spacing w:line="240" w:lineRule="auto"/>
              <w:ind w:firstLine="0" w:firstLineChars="0"/>
              <w:jc w:val="center"/>
              <w:rPr>
                <w:rFonts w:hint="eastAsia"/>
                <w:color w:val="auto"/>
                <w:sz w:val="21"/>
                <w:szCs w:val="21"/>
              </w:rPr>
            </w:pPr>
            <w:r>
              <w:rPr>
                <w:rFonts w:hint="eastAsia"/>
                <w:color w:val="auto"/>
                <w:sz w:val="21"/>
                <w:szCs w:val="21"/>
              </w:rPr>
              <w:t>1</w:t>
            </w:r>
          </w:p>
        </w:tc>
        <w:tc>
          <w:tcPr>
            <w:tcW w:w="769" w:type="pct"/>
            <w:tcBorders>
              <w:top w:val="single" w:color="auto" w:sz="4" w:space="0"/>
              <w:left w:val="nil"/>
              <w:bottom w:val="single" w:color="auto" w:sz="4" w:space="0"/>
              <w:right w:val="single" w:color="auto" w:sz="4" w:space="0"/>
            </w:tcBorders>
            <w:noWrap w:val="0"/>
            <w:vAlign w:val="center"/>
          </w:tcPr>
          <w:p w14:paraId="46280486">
            <w:pPr>
              <w:spacing w:line="240" w:lineRule="auto"/>
              <w:ind w:firstLine="0" w:firstLineChars="0"/>
              <w:jc w:val="center"/>
              <w:rPr>
                <w:rFonts w:hint="eastAsia"/>
                <w:color w:val="auto"/>
                <w:sz w:val="21"/>
                <w:szCs w:val="21"/>
              </w:rPr>
            </w:pPr>
            <w:r>
              <w:rPr>
                <w:rFonts w:hint="eastAsia"/>
                <w:color w:val="auto"/>
                <w:sz w:val="21"/>
                <w:szCs w:val="21"/>
              </w:rPr>
              <w:t>一般规定</w:t>
            </w:r>
          </w:p>
        </w:tc>
        <w:tc>
          <w:tcPr>
            <w:tcW w:w="3782" w:type="pct"/>
            <w:tcBorders>
              <w:top w:val="single" w:color="auto" w:sz="4" w:space="0"/>
              <w:left w:val="nil"/>
              <w:bottom w:val="single" w:color="auto" w:sz="4" w:space="0"/>
              <w:right w:val="single" w:color="auto" w:sz="4" w:space="0"/>
            </w:tcBorders>
            <w:noWrap w:val="0"/>
            <w:vAlign w:val="center"/>
          </w:tcPr>
          <w:p w14:paraId="49705192">
            <w:pPr>
              <w:spacing w:line="240" w:lineRule="auto"/>
              <w:ind w:firstLine="420"/>
              <w:rPr>
                <w:rFonts w:hint="eastAsia"/>
                <w:color w:val="auto"/>
                <w:sz w:val="21"/>
                <w:szCs w:val="21"/>
              </w:rPr>
            </w:pPr>
            <w:r>
              <w:rPr>
                <w:rFonts w:hint="eastAsia"/>
                <w:color w:val="auto"/>
                <w:sz w:val="21"/>
                <w:szCs w:val="21"/>
              </w:rPr>
              <w:t>1、预制叠合板等构件的存放和运输应采取防止变形和损坏的措施；构件的加工和进场顺序应与现场安装顺序一致。</w:t>
            </w:r>
          </w:p>
          <w:p w14:paraId="33C70278">
            <w:pPr>
              <w:spacing w:line="240" w:lineRule="auto"/>
              <w:ind w:firstLine="420"/>
              <w:rPr>
                <w:rFonts w:hint="eastAsia"/>
                <w:color w:val="auto"/>
                <w:sz w:val="21"/>
                <w:szCs w:val="21"/>
              </w:rPr>
            </w:pPr>
            <w:r>
              <w:rPr>
                <w:rFonts w:hint="eastAsia"/>
                <w:color w:val="auto"/>
                <w:sz w:val="21"/>
                <w:szCs w:val="21"/>
              </w:rPr>
              <w:t>2、主体结构施工应统筹安排垂直和水平运输机械。</w:t>
            </w:r>
          </w:p>
          <w:p w14:paraId="5833D615">
            <w:pPr>
              <w:spacing w:line="240" w:lineRule="auto"/>
              <w:ind w:firstLine="420"/>
              <w:rPr>
                <w:rFonts w:hint="eastAsia"/>
                <w:color w:val="auto"/>
                <w:sz w:val="21"/>
                <w:szCs w:val="21"/>
              </w:rPr>
            </w:pPr>
            <w:r>
              <w:rPr>
                <w:rFonts w:hint="eastAsia"/>
                <w:color w:val="auto"/>
                <w:sz w:val="21"/>
                <w:szCs w:val="21"/>
              </w:rPr>
              <w:t>3、施工现场采用预拌混凝土和预拌砂浆。</w:t>
            </w:r>
          </w:p>
        </w:tc>
      </w:tr>
      <w:tr w14:paraId="6EE94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B015935">
            <w:pPr>
              <w:spacing w:line="240" w:lineRule="auto"/>
              <w:ind w:firstLine="0" w:firstLineChars="0"/>
              <w:jc w:val="center"/>
              <w:rPr>
                <w:rFonts w:hint="eastAsia"/>
                <w:color w:val="auto"/>
                <w:sz w:val="21"/>
                <w:szCs w:val="21"/>
              </w:rPr>
            </w:pPr>
            <w:r>
              <w:rPr>
                <w:rFonts w:hint="eastAsia"/>
                <w:color w:val="auto"/>
                <w:sz w:val="21"/>
                <w:szCs w:val="21"/>
              </w:rPr>
              <w:t>2</w:t>
            </w:r>
          </w:p>
        </w:tc>
        <w:tc>
          <w:tcPr>
            <w:tcW w:w="769" w:type="pct"/>
            <w:tcBorders>
              <w:top w:val="single" w:color="auto" w:sz="4" w:space="0"/>
              <w:left w:val="nil"/>
              <w:bottom w:val="single" w:color="auto" w:sz="4" w:space="0"/>
              <w:right w:val="single" w:color="auto" w:sz="4" w:space="0"/>
            </w:tcBorders>
            <w:noWrap w:val="0"/>
            <w:vAlign w:val="center"/>
          </w:tcPr>
          <w:p w14:paraId="17524EAC">
            <w:pPr>
              <w:spacing w:line="240" w:lineRule="auto"/>
              <w:ind w:firstLine="0" w:firstLineChars="0"/>
              <w:jc w:val="center"/>
              <w:rPr>
                <w:rFonts w:hint="eastAsia"/>
                <w:color w:val="auto"/>
                <w:sz w:val="21"/>
                <w:szCs w:val="21"/>
              </w:rPr>
            </w:pPr>
            <w:r>
              <w:rPr>
                <w:rFonts w:hint="eastAsia"/>
                <w:color w:val="auto"/>
                <w:sz w:val="21"/>
                <w:szCs w:val="21"/>
              </w:rPr>
              <w:t>混凝土结构工程</w:t>
            </w:r>
          </w:p>
        </w:tc>
        <w:tc>
          <w:tcPr>
            <w:tcW w:w="3782" w:type="pct"/>
            <w:tcBorders>
              <w:top w:val="single" w:color="auto" w:sz="4" w:space="0"/>
              <w:left w:val="nil"/>
              <w:bottom w:val="single" w:color="auto" w:sz="4" w:space="0"/>
              <w:right w:val="single" w:color="auto" w:sz="4" w:space="0"/>
            </w:tcBorders>
            <w:noWrap w:val="0"/>
            <w:vAlign w:val="center"/>
          </w:tcPr>
          <w:p w14:paraId="1B491E36">
            <w:pPr>
              <w:spacing w:line="240" w:lineRule="auto"/>
              <w:ind w:firstLine="420"/>
              <w:rPr>
                <w:rFonts w:hint="eastAsia"/>
                <w:color w:val="auto"/>
                <w:sz w:val="21"/>
                <w:szCs w:val="21"/>
              </w:rPr>
            </w:pPr>
            <w:r>
              <w:rPr>
                <w:rFonts w:hint="eastAsia"/>
                <w:color w:val="auto"/>
                <w:sz w:val="21"/>
                <w:szCs w:val="21"/>
              </w:rPr>
              <w:t>1、钢筋宜采用专用广联达软件优化放样下料，根据优化配料结果合理确定进场钢筋的定尺长度；在满足规范要求的前提下，合理利用短筋。</w:t>
            </w:r>
          </w:p>
          <w:p w14:paraId="21F873FB">
            <w:pPr>
              <w:spacing w:line="240" w:lineRule="auto"/>
              <w:ind w:firstLine="420"/>
              <w:rPr>
                <w:rFonts w:hint="eastAsia"/>
                <w:color w:val="auto"/>
                <w:sz w:val="21"/>
                <w:szCs w:val="21"/>
              </w:rPr>
            </w:pPr>
            <w:r>
              <w:rPr>
                <w:rFonts w:hint="eastAsia"/>
                <w:color w:val="auto"/>
                <w:sz w:val="21"/>
                <w:szCs w:val="21"/>
              </w:rPr>
              <w:t>2、钢筋工程宜采用专业化生产的成型钢筋。钢筋现场加工时，宜采取集中加工方式。</w:t>
            </w:r>
          </w:p>
          <w:p w14:paraId="152EF5FF">
            <w:pPr>
              <w:spacing w:line="240" w:lineRule="auto"/>
              <w:ind w:firstLine="420"/>
              <w:rPr>
                <w:rFonts w:hint="eastAsia"/>
                <w:color w:val="auto"/>
                <w:sz w:val="21"/>
                <w:szCs w:val="21"/>
              </w:rPr>
            </w:pPr>
            <w:r>
              <w:rPr>
                <w:rFonts w:hint="eastAsia"/>
                <w:color w:val="auto"/>
                <w:sz w:val="21"/>
                <w:szCs w:val="21"/>
              </w:rPr>
              <w:t>3、进场钢筋原材料和加工半成品应存放有序、标识清晰、储存环境适宜，并应采取防潮、防污染等措施，建立健全保管制度。</w:t>
            </w:r>
          </w:p>
          <w:p w14:paraId="19A03415">
            <w:pPr>
              <w:spacing w:line="240" w:lineRule="auto"/>
              <w:ind w:firstLine="420"/>
              <w:rPr>
                <w:rFonts w:hint="eastAsia"/>
                <w:color w:val="auto"/>
                <w:sz w:val="21"/>
                <w:szCs w:val="21"/>
              </w:rPr>
            </w:pPr>
            <w:r>
              <w:rPr>
                <w:rFonts w:hint="eastAsia"/>
                <w:color w:val="auto"/>
                <w:sz w:val="21"/>
                <w:szCs w:val="21"/>
              </w:rPr>
              <w:t>4、钢筋加工中使用的冷却液体，应过滤后循环使用，不得随意排放。</w:t>
            </w:r>
          </w:p>
          <w:p w14:paraId="75956BC9">
            <w:pPr>
              <w:spacing w:line="240" w:lineRule="auto"/>
              <w:ind w:firstLine="420"/>
              <w:rPr>
                <w:rFonts w:hint="eastAsia"/>
                <w:color w:val="auto"/>
                <w:sz w:val="21"/>
                <w:szCs w:val="21"/>
              </w:rPr>
            </w:pPr>
            <w:r>
              <w:rPr>
                <w:rFonts w:hint="eastAsia"/>
                <w:color w:val="auto"/>
                <w:sz w:val="21"/>
                <w:szCs w:val="21"/>
              </w:rPr>
              <w:t>5、钢筋加工产生的粉末状废料，应按建筑垃圾及时收集和处理，不得随意掩埋或丢弃。</w:t>
            </w:r>
          </w:p>
        </w:tc>
      </w:tr>
      <w:tr w14:paraId="547F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C0FC9EE">
            <w:pPr>
              <w:spacing w:line="240" w:lineRule="auto"/>
              <w:ind w:firstLine="0" w:firstLineChars="0"/>
              <w:jc w:val="center"/>
              <w:rPr>
                <w:rFonts w:hint="eastAsia"/>
                <w:color w:val="auto"/>
                <w:sz w:val="21"/>
                <w:szCs w:val="21"/>
              </w:rPr>
            </w:pPr>
            <w:r>
              <w:rPr>
                <w:rFonts w:hint="eastAsia"/>
                <w:color w:val="auto"/>
                <w:sz w:val="21"/>
                <w:szCs w:val="21"/>
              </w:rPr>
              <w:t>3</w:t>
            </w:r>
          </w:p>
        </w:tc>
        <w:tc>
          <w:tcPr>
            <w:tcW w:w="769" w:type="pct"/>
            <w:tcBorders>
              <w:top w:val="single" w:color="auto" w:sz="4" w:space="0"/>
              <w:left w:val="nil"/>
              <w:bottom w:val="single" w:color="auto" w:sz="4" w:space="0"/>
              <w:right w:val="single" w:color="auto" w:sz="4" w:space="0"/>
            </w:tcBorders>
            <w:noWrap w:val="0"/>
            <w:vAlign w:val="center"/>
          </w:tcPr>
          <w:p w14:paraId="68D014C7">
            <w:pPr>
              <w:spacing w:line="240" w:lineRule="auto"/>
              <w:ind w:firstLine="0" w:firstLineChars="0"/>
              <w:jc w:val="center"/>
              <w:rPr>
                <w:rFonts w:hint="eastAsia"/>
                <w:color w:val="auto"/>
                <w:sz w:val="21"/>
                <w:szCs w:val="21"/>
              </w:rPr>
            </w:pPr>
            <w:r>
              <w:rPr>
                <w:rFonts w:hint="eastAsia"/>
                <w:color w:val="auto"/>
                <w:sz w:val="21"/>
                <w:szCs w:val="21"/>
              </w:rPr>
              <w:t>模板工程</w:t>
            </w:r>
          </w:p>
        </w:tc>
        <w:tc>
          <w:tcPr>
            <w:tcW w:w="3782" w:type="pct"/>
            <w:tcBorders>
              <w:top w:val="single" w:color="auto" w:sz="4" w:space="0"/>
              <w:left w:val="nil"/>
              <w:bottom w:val="single" w:color="auto" w:sz="4" w:space="0"/>
              <w:right w:val="single" w:color="auto" w:sz="4" w:space="0"/>
            </w:tcBorders>
            <w:noWrap w:val="0"/>
            <w:vAlign w:val="center"/>
          </w:tcPr>
          <w:p w14:paraId="32D9AB52">
            <w:pPr>
              <w:spacing w:line="240" w:lineRule="auto"/>
              <w:ind w:firstLine="420"/>
              <w:rPr>
                <w:rFonts w:hint="eastAsia"/>
                <w:color w:val="auto"/>
                <w:sz w:val="21"/>
                <w:szCs w:val="21"/>
              </w:rPr>
            </w:pPr>
            <w:r>
              <w:rPr>
                <w:rFonts w:hint="eastAsia"/>
                <w:color w:val="auto"/>
                <w:sz w:val="21"/>
                <w:szCs w:val="21"/>
              </w:rPr>
              <w:t>1、应选用木模体系。</w:t>
            </w:r>
          </w:p>
          <w:p w14:paraId="3580BE44">
            <w:pPr>
              <w:spacing w:line="240" w:lineRule="auto"/>
              <w:ind w:firstLine="420"/>
              <w:rPr>
                <w:rFonts w:hint="eastAsia"/>
                <w:color w:val="auto"/>
                <w:sz w:val="21"/>
                <w:szCs w:val="21"/>
              </w:rPr>
            </w:pPr>
            <w:r>
              <w:rPr>
                <w:rFonts w:hint="eastAsia"/>
                <w:color w:val="auto"/>
                <w:sz w:val="21"/>
                <w:szCs w:val="21"/>
              </w:rPr>
              <w:t>2、模板下料准确，减少资源浪费</w:t>
            </w:r>
          </w:p>
        </w:tc>
      </w:tr>
      <w:tr w14:paraId="17FB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C78704A">
            <w:pPr>
              <w:spacing w:line="240" w:lineRule="auto"/>
              <w:ind w:firstLine="0" w:firstLineChars="0"/>
              <w:jc w:val="center"/>
              <w:rPr>
                <w:rFonts w:hint="eastAsia"/>
                <w:color w:val="auto"/>
                <w:sz w:val="21"/>
                <w:szCs w:val="21"/>
              </w:rPr>
            </w:pPr>
            <w:r>
              <w:rPr>
                <w:rFonts w:hint="eastAsia"/>
                <w:color w:val="auto"/>
                <w:sz w:val="21"/>
                <w:szCs w:val="21"/>
              </w:rPr>
              <w:t>4</w:t>
            </w:r>
          </w:p>
        </w:tc>
        <w:tc>
          <w:tcPr>
            <w:tcW w:w="769" w:type="pct"/>
            <w:tcBorders>
              <w:top w:val="single" w:color="auto" w:sz="4" w:space="0"/>
              <w:left w:val="nil"/>
              <w:bottom w:val="single" w:color="auto" w:sz="4" w:space="0"/>
              <w:right w:val="single" w:color="auto" w:sz="4" w:space="0"/>
            </w:tcBorders>
            <w:noWrap w:val="0"/>
            <w:vAlign w:val="center"/>
          </w:tcPr>
          <w:p w14:paraId="70DFC1E6">
            <w:pPr>
              <w:spacing w:line="240" w:lineRule="auto"/>
              <w:ind w:firstLine="0" w:firstLineChars="0"/>
              <w:jc w:val="center"/>
              <w:rPr>
                <w:rFonts w:hint="eastAsia"/>
                <w:color w:val="auto"/>
                <w:sz w:val="21"/>
                <w:szCs w:val="21"/>
              </w:rPr>
            </w:pPr>
            <w:r>
              <w:rPr>
                <w:rFonts w:hint="eastAsia"/>
                <w:color w:val="auto"/>
                <w:sz w:val="21"/>
                <w:szCs w:val="21"/>
              </w:rPr>
              <w:t>混凝土工程</w:t>
            </w:r>
          </w:p>
        </w:tc>
        <w:tc>
          <w:tcPr>
            <w:tcW w:w="3782" w:type="pct"/>
            <w:tcBorders>
              <w:top w:val="single" w:color="auto" w:sz="4" w:space="0"/>
              <w:left w:val="nil"/>
              <w:bottom w:val="single" w:color="auto" w:sz="4" w:space="0"/>
              <w:right w:val="single" w:color="auto" w:sz="4" w:space="0"/>
            </w:tcBorders>
            <w:noWrap w:val="0"/>
            <w:vAlign w:val="center"/>
          </w:tcPr>
          <w:p w14:paraId="113EFA12">
            <w:pPr>
              <w:spacing w:line="240" w:lineRule="auto"/>
              <w:ind w:firstLine="420"/>
              <w:rPr>
                <w:rFonts w:hint="eastAsia"/>
                <w:color w:val="auto"/>
                <w:sz w:val="21"/>
                <w:szCs w:val="21"/>
              </w:rPr>
            </w:pPr>
            <w:r>
              <w:rPr>
                <w:rFonts w:hint="eastAsia"/>
                <w:color w:val="auto"/>
                <w:sz w:val="21"/>
                <w:szCs w:val="21"/>
              </w:rPr>
              <w:t>1、在混凝土配合比设计时，应减少水泥用量，增加工业废料、矿山废渣的掺量；当混凝土中添加粉煤灰时，宜利用其后期强度。</w:t>
            </w:r>
          </w:p>
          <w:p w14:paraId="2B706283">
            <w:pPr>
              <w:spacing w:line="240" w:lineRule="auto"/>
              <w:ind w:firstLine="420"/>
              <w:rPr>
                <w:rFonts w:hint="eastAsia"/>
                <w:color w:val="auto"/>
                <w:sz w:val="21"/>
                <w:szCs w:val="21"/>
              </w:rPr>
            </w:pPr>
            <w:r>
              <w:rPr>
                <w:rFonts w:hint="eastAsia"/>
                <w:color w:val="auto"/>
                <w:sz w:val="21"/>
                <w:szCs w:val="21"/>
              </w:rPr>
              <w:t>2、混凝土应采用低噪声振捣设备振捣，也可采取围挡降噪措施；在噪声敏感环境或钢筋密集时，宜采用自密实混凝土。</w:t>
            </w:r>
          </w:p>
          <w:p w14:paraId="7D2FEBC7">
            <w:pPr>
              <w:spacing w:line="240" w:lineRule="auto"/>
              <w:ind w:firstLine="420"/>
              <w:rPr>
                <w:rFonts w:hint="eastAsia"/>
                <w:color w:val="auto"/>
                <w:sz w:val="21"/>
                <w:szCs w:val="21"/>
              </w:rPr>
            </w:pPr>
            <w:r>
              <w:rPr>
                <w:rFonts w:hint="eastAsia"/>
                <w:color w:val="auto"/>
                <w:sz w:val="21"/>
                <w:szCs w:val="21"/>
              </w:rPr>
              <w:t>3、混凝土宜采用塑料薄膜加保温材料覆盖保湿、保温养护；当采用洒水或喷雾养护时，养护用水宜使用回收的雨水；混凝土竖向构件宜采用养护剂进行养护。</w:t>
            </w:r>
          </w:p>
          <w:p w14:paraId="1E297D3D">
            <w:pPr>
              <w:spacing w:line="240" w:lineRule="auto"/>
              <w:ind w:firstLine="420"/>
              <w:rPr>
                <w:rFonts w:hint="eastAsia"/>
                <w:color w:val="auto"/>
                <w:sz w:val="21"/>
                <w:szCs w:val="21"/>
              </w:rPr>
            </w:pPr>
            <w:r>
              <w:rPr>
                <w:rFonts w:hint="eastAsia"/>
                <w:color w:val="auto"/>
                <w:sz w:val="21"/>
                <w:szCs w:val="21"/>
              </w:rPr>
              <w:t>4、混凝土浇筑余料应制成小型预制件，或采用其他措施加以利用，不得随意倾倒。</w:t>
            </w:r>
          </w:p>
          <w:p w14:paraId="7E43F1E1">
            <w:pPr>
              <w:spacing w:line="240" w:lineRule="auto"/>
              <w:ind w:firstLine="420"/>
              <w:rPr>
                <w:rFonts w:hint="eastAsia"/>
                <w:color w:val="auto"/>
                <w:sz w:val="21"/>
                <w:szCs w:val="21"/>
              </w:rPr>
            </w:pPr>
            <w:r>
              <w:rPr>
                <w:rFonts w:hint="eastAsia"/>
                <w:color w:val="auto"/>
                <w:sz w:val="21"/>
                <w:szCs w:val="21"/>
              </w:rPr>
              <w:t>5、清洗泵送设备和管道的污水应经沉淀后回收利用，浆料分离后可作室外道路、地面等垫层的回填材料。</w:t>
            </w:r>
          </w:p>
        </w:tc>
      </w:tr>
      <w:tr w14:paraId="11F3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8824415">
            <w:pPr>
              <w:spacing w:line="240" w:lineRule="auto"/>
              <w:ind w:firstLine="0" w:firstLineChars="0"/>
              <w:jc w:val="center"/>
              <w:rPr>
                <w:rFonts w:hint="eastAsia"/>
                <w:color w:val="auto"/>
                <w:sz w:val="21"/>
                <w:szCs w:val="21"/>
              </w:rPr>
            </w:pPr>
            <w:r>
              <w:rPr>
                <w:rFonts w:hint="eastAsia"/>
                <w:color w:val="auto"/>
                <w:sz w:val="21"/>
                <w:szCs w:val="21"/>
              </w:rPr>
              <w:t>5</w:t>
            </w:r>
          </w:p>
        </w:tc>
        <w:tc>
          <w:tcPr>
            <w:tcW w:w="769" w:type="pct"/>
            <w:tcBorders>
              <w:top w:val="single" w:color="auto" w:sz="4" w:space="0"/>
              <w:left w:val="nil"/>
              <w:bottom w:val="single" w:color="auto" w:sz="4" w:space="0"/>
              <w:right w:val="single" w:color="auto" w:sz="4" w:space="0"/>
            </w:tcBorders>
            <w:noWrap w:val="0"/>
            <w:vAlign w:val="center"/>
          </w:tcPr>
          <w:p w14:paraId="06650C9A">
            <w:pPr>
              <w:spacing w:line="240" w:lineRule="auto"/>
              <w:ind w:firstLine="0" w:firstLineChars="0"/>
              <w:jc w:val="center"/>
              <w:rPr>
                <w:rFonts w:hint="eastAsia"/>
                <w:color w:val="auto"/>
                <w:sz w:val="21"/>
                <w:szCs w:val="21"/>
              </w:rPr>
            </w:pPr>
            <w:r>
              <w:rPr>
                <w:rFonts w:hint="eastAsia"/>
                <w:color w:val="auto"/>
                <w:sz w:val="21"/>
                <w:szCs w:val="21"/>
              </w:rPr>
              <w:t>砌体结构工程</w:t>
            </w:r>
          </w:p>
        </w:tc>
        <w:tc>
          <w:tcPr>
            <w:tcW w:w="3782" w:type="pct"/>
            <w:tcBorders>
              <w:top w:val="single" w:color="auto" w:sz="4" w:space="0"/>
              <w:left w:val="nil"/>
              <w:bottom w:val="single" w:color="auto" w:sz="4" w:space="0"/>
              <w:right w:val="single" w:color="auto" w:sz="4" w:space="0"/>
            </w:tcBorders>
            <w:noWrap w:val="0"/>
            <w:vAlign w:val="center"/>
          </w:tcPr>
          <w:p w14:paraId="7229A325">
            <w:pPr>
              <w:spacing w:line="240" w:lineRule="auto"/>
              <w:ind w:firstLine="420"/>
              <w:rPr>
                <w:rFonts w:hint="eastAsia"/>
                <w:color w:val="auto"/>
                <w:sz w:val="21"/>
                <w:szCs w:val="21"/>
              </w:rPr>
            </w:pPr>
            <w:r>
              <w:rPr>
                <w:rFonts w:hint="eastAsia"/>
                <w:color w:val="auto"/>
                <w:sz w:val="21"/>
                <w:szCs w:val="21"/>
              </w:rPr>
              <w:t>1、砌块运输宜采用托板整体包装，现场应减少二次搬运。</w:t>
            </w:r>
          </w:p>
          <w:p w14:paraId="4077206F">
            <w:pPr>
              <w:spacing w:line="240" w:lineRule="auto"/>
              <w:ind w:firstLine="420"/>
              <w:rPr>
                <w:rFonts w:hint="eastAsia"/>
                <w:color w:val="auto"/>
                <w:sz w:val="21"/>
                <w:szCs w:val="21"/>
              </w:rPr>
            </w:pPr>
            <w:r>
              <w:rPr>
                <w:rFonts w:hint="eastAsia"/>
                <w:color w:val="auto"/>
                <w:sz w:val="21"/>
                <w:szCs w:val="21"/>
              </w:rPr>
              <w:t>2、砌块湿润和砌体养护宜使用检验合格的非自来水水源。</w:t>
            </w:r>
          </w:p>
          <w:p w14:paraId="07F5420C">
            <w:pPr>
              <w:spacing w:line="240" w:lineRule="auto"/>
              <w:ind w:firstLine="420"/>
              <w:rPr>
                <w:rFonts w:hint="eastAsia"/>
                <w:color w:val="auto"/>
                <w:sz w:val="21"/>
                <w:szCs w:val="21"/>
              </w:rPr>
            </w:pPr>
            <w:r>
              <w:rPr>
                <w:rFonts w:hint="eastAsia"/>
                <w:color w:val="auto"/>
                <w:sz w:val="21"/>
                <w:szCs w:val="21"/>
              </w:rPr>
              <w:t>3、砌筑施工时，落地灰应及时清理、收集和再利用。</w:t>
            </w:r>
          </w:p>
          <w:p w14:paraId="1D3F7D11">
            <w:pPr>
              <w:spacing w:line="240" w:lineRule="auto"/>
              <w:ind w:firstLine="420"/>
              <w:rPr>
                <w:rFonts w:hint="eastAsia"/>
                <w:color w:val="auto"/>
                <w:sz w:val="21"/>
                <w:szCs w:val="21"/>
              </w:rPr>
            </w:pPr>
            <w:r>
              <w:rPr>
                <w:rFonts w:hint="eastAsia"/>
                <w:color w:val="auto"/>
                <w:sz w:val="21"/>
                <w:szCs w:val="21"/>
              </w:rPr>
              <w:t>4、砌块应按砌体图砌筑，现场切割时应采取防尘降噪措施。</w:t>
            </w:r>
          </w:p>
        </w:tc>
      </w:tr>
    </w:tbl>
    <w:p w14:paraId="75A5FC43">
      <w:pPr>
        <w:ind w:firstLine="480"/>
        <w:rPr>
          <w:rFonts w:hint="eastAsia"/>
          <w:color w:val="auto"/>
        </w:rPr>
      </w:pPr>
      <w:r>
        <w:rPr>
          <w:rFonts w:hint="eastAsia"/>
          <w:color w:val="auto"/>
        </w:rPr>
        <w:t>4、装饰装修工程</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1430"/>
        <w:gridCol w:w="7020"/>
      </w:tblGrid>
      <w:tr w14:paraId="1080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7BF046DD">
            <w:pPr>
              <w:spacing w:line="240" w:lineRule="auto"/>
              <w:ind w:firstLine="0" w:firstLineChars="0"/>
              <w:jc w:val="center"/>
              <w:rPr>
                <w:rFonts w:hint="eastAsia"/>
                <w:color w:val="auto"/>
                <w:sz w:val="21"/>
                <w:szCs w:val="21"/>
              </w:rPr>
            </w:pPr>
            <w:r>
              <w:rPr>
                <w:rFonts w:hint="eastAsia"/>
                <w:color w:val="auto"/>
                <w:sz w:val="21"/>
                <w:szCs w:val="21"/>
              </w:rPr>
              <w:t>序号</w:t>
            </w:r>
          </w:p>
        </w:tc>
        <w:tc>
          <w:tcPr>
            <w:tcW w:w="770" w:type="pct"/>
            <w:tcBorders>
              <w:top w:val="single" w:color="auto" w:sz="4" w:space="0"/>
              <w:left w:val="nil"/>
              <w:bottom w:val="single" w:color="auto" w:sz="4" w:space="0"/>
              <w:right w:val="single" w:color="auto" w:sz="4" w:space="0"/>
            </w:tcBorders>
            <w:noWrap w:val="0"/>
            <w:vAlign w:val="center"/>
          </w:tcPr>
          <w:p w14:paraId="19EFE7CB">
            <w:pPr>
              <w:spacing w:line="240" w:lineRule="auto"/>
              <w:ind w:firstLine="0" w:firstLineChars="0"/>
              <w:jc w:val="center"/>
              <w:rPr>
                <w:rFonts w:hint="eastAsia"/>
                <w:color w:val="auto"/>
                <w:sz w:val="21"/>
                <w:szCs w:val="21"/>
              </w:rPr>
            </w:pPr>
            <w:r>
              <w:rPr>
                <w:rFonts w:hint="eastAsia"/>
                <w:color w:val="auto"/>
                <w:sz w:val="21"/>
                <w:szCs w:val="21"/>
              </w:rPr>
              <w:t>主要内容</w:t>
            </w:r>
          </w:p>
        </w:tc>
        <w:tc>
          <w:tcPr>
            <w:tcW w:w="3780" w:type="pct"/>
            <w:tcBorders>
              <w:top w:val="single" w:color="auto" w:sz="4" w:space="0"/>
              <w:left w:val="nil"/>
              <w:bottom w:val="single" w:color="auto" w:sz="4" w:space="0"/>
              <w:right w:val="single" w:color="auto" w:sz="4" w:space="0"/>
            </w:tcBorders>
            <w:noWrap w:val="0"/>
            <w:vAlign w:val="center"/>
          </w:tcPr>
          <w:p w14:paraId="6B4133AF">
            <w:pPr>
              <w:spacing w:line="240" w:lineRule="auto"/>
              <w:ind w:firstLine="0" w:firstLineChars="0"/>
              <w:jc w:val="center"/>
              <w:rPr>
                <w:rFonts w:hint="eastAsia"/>
                <w:color w:val="auto"/>
                <w:sz w:val="21"/>
                <w:szCs w:val="21"/>
              </w:rPr>
            </w:pPr>
            <w:r>
              <w:rPr>
                <w:rFonts w:hint="eastAsia"/>
                <w:color w:val="auto"/>
                <w:sz w:val="21"/>
                <w:szCs w:val="21"/>
              </w:rPr>
              <w:t>具体措施</w:t>
            </w:r>
          </w:p>
        </w:tc>
      </w:tr>
      <w:tr w14:paraId="4BB76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0C3E37C6">
            <w:pPr>
              <w:spacing w:line="240" w:lineRule="auto"/>
              <w:ind w:firstLine="0" w:firstLineChars="0"/>
              <w:jc w:val="center"/>
              <w:rPr>
                <w:rFonts w:hint="eastAsia"/>
                <w:color w:val="auto"/>
                <w:sz w:val="21"/>
                <w:szCs w:val="21"/>
              </w:rPr>
            </w:pPr>
            <w:r>
              <w:rPr>
                <w:rFonts w:hint="eastAsia"/>
                <w:color w:val="auto"/>
                <w:sz w:val="21"/>
                <w:szCs w:val="21"/>
              </w:rPr>
              <w:t>1</w:t>
            </w:r>
          </w:p>
        </w:tc>
        <w:tc>
          <w:tcPr>
            <w:tcW w:w="770" w:type="pct"/>
            <w:tcBorders>
              <w:top w:val="single" w:color="auto" w:sz="4" w:space="0"/>
              <w:left w:val="nil"/>
              <w:bottom w:val="single" w:color="auto" w:sz="4" w:space="0"/>
              <w:right w:val="single" w:color="auto" w:sz="4" w:space="0"/>
            </w:tcBorders>
            <w:noWrap w:val="0"/>
            <w:vAlign w:val="center"/>
          </w:tcPr>
          <w:p w14:paraId="1BA4D799">
            <w:pPr>
              <w:spacing w:line="240" w:lineRule="auto"/>
              <w:ind w:firstLine="0" w:firstLineChars="0"/>
              <w:jc w:val="center"/>
              <w:rPr>
                <w:rFonts w:hint="eastAsia"/>
                <w:color w:val="auto"/>
                <w:sz w:val="21"/>
                <w:szCs w:val="21"/>
              </w:rPr>
            </w:pPr>
            <w:r>
              <w:rPr>
                <w:rFonts w:hint="eastAsia"/>
                <w:color w:val="auto"/>
                <w:sz w:val="21"/>
                <w:szCs w:val="21"/>
              </w:rPr>
              <w:t>一般规定</w:t>
            </w:r>
          </w:p>
        </w:tc>
        <w:tc>
          <w:tcPr>
            <w:tcW w:w="3780" w:type="pct"/>
            <w:tcBorders>
              <w:top w:val="single" w:color="auto" w:sz="4" w:space="0"/>
              <w:left w:val="nil"/>
              <w:bottom w:val="single" w:color="auto" w:sz="4" w:space="0"/>
              <w:right w:val="single" w:color="auto" w:sz="4" w:space="0"/>
            </w:tcBorders>
            <w:noWrap w:val="0"/>
            <w:vAlign w:val="center"/>
          </w:tcPr>
          <w:p w14:paraId="36C13A7E">
            <w:pPr>
              <w:spacing w:line="240" w:lineRule="auto"/>
              <w:ind w:firstLine="420"/>
              <w:rPr>
                <w:rFonts w:hint="eastAsia"/>
                <w:color w:val="auto"/>
                <w:sz w:val="21"/>
                <w:szCs w:val="21"/>
              </w:rPr>
            </w:pPr>
            <w:r>
              <w:rPr>
                <w:rFonts w:hint="eastAsia"/>
                <w:color w:val="auto"/>
                <w:sz w:val="21"/>
                <w:szCs w:val="21"/>
              </w:rPr>
              <w:t>1、施工前，块材、板材和卷材应进行排版优化设计。</w:t>
            </w:r>
          </w:p>
          <w:p w14:paraId="0716DC34">
            <w:pPr>
              <w:spacing w:line="240" w:lineRule="auto"/>
              <w:ind w:firstLine="420"/>
              <w:rPr>
                <w:rFonts w:hint="eastAsia"/>
                <w:color w:val="auto"/>
                <w:sz w:val="21"/>
                <w:szCs w:val="21"/>
              </w:rPr>
            </w:pPr>
            <w:r>
              <w:rPr>
                <w:rFonts w:hint="eastAsia"/>
                <w:color w:val="auto"/>
                <w:sz w:val="21"/>
                <w:szCs w:val="21"/>
              </w:rPr>
              <w:t>2、门窗、幕墙、块材、板材宜采用工厂化加工。</w:t>
            </w:r>
          </w:p>
          <w:p w14:paraId="177D5612">
            <w:pPr>
              <w:spacing w:line="240" w:lineRule="auto"/>
              <w:ind w:firstLine="420"/>
              <w:rPr>
                <w:rFonts w:hint="eastAsia"/>
                <w:color w:val="auto"/>
                <w:sz w:val="21"/>
                <w:szCs w:val="21"/>
              </w:rPr>
            </w:pPr>
            <w:r>
              <w:rPr>
                <w:rFonts w:hint="eastAsia"/>
                <w:color w:val="auto"/>
                <w:sz w:val="21"/>
                <w:szCs w:val="21"/>
              </w:rPr>
              <w:t>3、装饰用砂浆采用预拌砂浆，落地灰应回收使用。</w:t>
            </w:r>
          </w:p>
          <w:p w14:paraId="07D34E68">
            <w:pPr>
              <w:spacing w:line="240" w:lineRule="auto"/>
              <w:ind w:firstLine="420"/>
              <w:rPr>
                <w:rFonts w:hint="eastAsia"/>
                <w:color w:val="auto"/>
                <w:sz w:val="21"/>
                <w:szCs w:val="21"/>
              </w:rPr>
            </w:pPr>
            <w:r>
              <w:rPr>
                <w:rFonts w:hint="eastAsia"/>
                <w:color w:val="auto"/>
                <w:sz w:val="21"/>
                <w:szCs w:val="21"/>
              </w:rPr>
              <w:t>4、装饰装修成品、半成品应采取保护措施。</w:t>
            </w:r>
          </w:p>
          <w:p w14:paraId="57EB0668">
            <w:pPr>
              <w:spacing w:line="240" w:lineRule="auto"/>
              <w:ind w:firstLine="420"/>
              <w:rPr>
                <w:rFonts w:hint="eastAsia"/>
                <w:color w:val="auto"/>
                <w:sz w:val="21"/>
                <w:szCs w:val="21"/>
              </w:rPr>
            </w:pPr>
            <w:r>
              <w:rPr>
                <w:rFonts w:hint="eastAsia"/>
                <w:color w:val="auto"/>
                <w:sz w:val="21"/>
                <w:szCs w:val="21"/>
              </w:rPr>
              <w:t>5、材料的包装物应全部分类回收。</w:t>
            </w:r>
          </w:p>
          <w:p w14:paraId="4057C1E1">
            <w:pPr>
              <w:spacing w:line="240" w:lineRule="auto"/>
              <w:ind w:firstLine="420"/>
              <w:rPr>
                <w:rFonts w:hint="eastAsia"/>
                <w:color w:val="auto"/>
                <w:sz w:val="21"/>
                <w:szCs w:val="21"/>
              </w:rPr>
            </w:pPr>
            <w:r>
              <w:rPr>
                <w:rFonts w:hint="eastAsia"/>
                <w:color w:val="auto"/>
                <w:sz w:val="21"/>
                <w:szCs w:val="21"/>
              </w:rPr>
              <w:t>6、不得采用沥青类、煤焦油类材料作为室内防腐、防潮处理剂。</w:t>
            </w:r>
          </w:p>
          <w:p w14:paraId="32B12DC9">
            <w:pPr>
              <w:spacing w:line="240" w:lineRule="auto"/>
              <w:ind w:firstLine="420"/>
              <w:rPr>
                <w:rFonts w:hint="eastAsia"/>
                <w:color w:val="auto"/>
                <w:sz w:val="21"/>
                <w:szCs w:val="21"/>
              </w:rPr>
            </w:pPr>
            <w:r>
              <w:rPr>
                <w:rFonts w:hint="eastAsia"/>
                <w:color w:val="auto"/>
                <w:sz w:val="21"/>
                <w:szCs w:val="21"/>
              </w:rPr>
              <w:t>7、应制定材料使用的减量计划，材料损耗宜比额定损耗率降低30%。</w:t>
            </w:r>
          </w:p>
          <w:p w14:paraId="3376E71B">
            <w:pPr>
              <w:spacing w:line="240" w:lineRule="auto"/>
              <w:ind w:firstLine="420"/>
              <w:rPr>
                <w:rFonts w:hint="eastAsia"/>
                <w:color w:val="auto"/>
                <w:sz w:val="21"/>
                <w:szCs w:val="21"/>
              </w:rPr>
            </w:pPr>
            <w:r>
              <w:rPr>
                <w:rFonts w:hint="eastAsia"/>
                <w:color w:val="auto"/>
                <w:sz w:val="21"/>
                <w:szCs w:val="21"/>
              </w:rPr>
              <w:t>8、民用建筑工程验收时，必须进行室内环境污染物浓度检测。</w:t>
            </w:r>
          </w:p>
        </w:tc>
      </w:tr>
      <w:tr w14:paraId="1A93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2C542253">
            <w:pPr>
              <w:spacing w:line="240" w:lineRule="auto"/>
              <w:ind w:firstLine="0" w:firstLineChars="0"/>
              <w:jc w:val="center"/>
              <w:rPr>
                <w:rFonts w:hint="eastAsia"/>
                <w:color w:val="auto"/>
                <w:sz w:val="21"/>
                <w:szCs w:val="21"/>
              </w:rPr>
            </w:pPr>
            <w:r>
              <w:rPr>
                <w:rFonts w:hint="eastAsia"/>
                <w:color w:val="auto"/>
                <w:sz w:val="21"/>
                <w:szCs w:val="21"/>
              </w:rPr>
              <w:t>2</w:t>
            </w:r>
          </w:p>
        </w:tc>
        <w:tc>
          <w:tcPr>
            <w:tcW w:w="770" w:type="pct"/>
            <w:tcBorders>
              <w:top w:val="single" w:color="auto" w:sz="4" w:space="0"/>
              <w:left w:val="nil"/>
              <w:bottom w:val="single" w:color="auto" w:sz="4" w:space="0"/>
              <w:right w:val="single" w:color="auto" w:sz="4" w:space="0"/>
            </w:tcBorders>
            <w:noWrap w:val="0"/>
            <w:vAlign w:val="center"/>
          </w:tcPr>
          <w:p w14:paraId="43AADBCB">
            <w:pPr>
              <w:spacing w:line="240" w:lineRule="auto"/>
              <w:ind w:firstLine="0" w:firstLineChars="0"/>
              <w:jc w:val="center"/>
              <w:rPr>
                <w:rFonts w:hint="eastAsia"/>
                <w:color w:val="auto"/>
                <w:sz w:val="21"/>
                <w:szCs w:val="21"/>
              </w:rPr>
            </w:pPr>
            <w:r>
              <w:rPr>
                <w:rFonts w:hint="eastAsia"/>
                <w:color w:val="auto"/>
                <w:sz w:val="21"/>
                <w:szCs w:val="21"/>
              </w:rPr>
              <w:t>地面工程</w:t>
            </w:r>
          </w:p>
        </w:tc>
        <w:tc>
          <w:tcPr>
            <w:tcW w:w="3780" w:type="pct"/>
            <w:tcBorders>
              <w:top w:val="single" w:color="auto" w:sz="4" w:space="0"/>
              <w:left w:val="nil"/>
              <w:bottom w:val="single" w:color="auto" w:sz="4" w:space="0"/>
              <w:right w:val="single" w:color="auto" w:sz="4" w:space="0"/>
            </w:tcBorders>
            <w:noWrap w:val="0"/>
            <w:vAlign w:val="center"/>
          </w:tcPr>
          <w:p w14:paraId="61E95820">
            <w:pPr>
              <w:spacing w:line="240" w:lineRule="auto"/>
              <w:ind w:firstLine="420"/>
              <w:rPr>
                <w:rFonts w:hint="eastAsia"/>
                <w:color w:val="auto"/>
                <w:sz w:val="21"/>
                <w:szCs w:val="21"/>
              </w:rPr>
            </w:pPr>
            <w:r>
              <w:rPr>
                <w:rFonts w:hint="eastAsia"/>
                <w:color w:val="auto"/>
                <w:sz w:val="21"/>
                <w:szCs w:val="21"/>
              </w:rPr>
              <w:t>1、基层粉尘清理应采用吸尘器；没有防潮要求的，可采用洒水降尘措施。</w:t>
            </w:r>
          </w:p>
          <w:p w14:paraId="1957E0C8">
            <w:pPr>
              <w:spacing w:line="240" w:lineRule="auto"/>
              <w:ind w:firstLine="420"/>
              <w:rPr>
                <w:rFonts w:hint="eastAsia"/>
                <w:color w:val="auto"/>
                <w:sz w:val="21"/>
                <w:szCs w:val="21"/>
              </w:rPr>
            </w:pPr>
            <w:r>
              <w:rPr>
                <w:rFonts w:hint="eastAsia"/>
                <w:color w:val="auto"/>
                <w:sz w:val="21"/>
                <w:szCs w:val="21"/>
              </w:rPr>
              <w:t>2、基层需要剔凿的，应采用噪声剔凿机具和剔凿方式。</w:t>
            </w:r>
          </w:p>
          <w:p w14:paraId="41FF2C5A">
            <w:pPr>
              <w:spacing w:line="240" w:lineRule="auto"/>
              <w:ind w:firstLine="420"/>
              <w:rPr>
                <w:rFonts w:hint="eastAsia"/>
                <w:color w:val="auto"/>
                <w:sz w:val="21"/>
                <w:szCs w:val="21"/>
              </w:rPr>
            </w:pPr>
            <w:r>
              <w:rPr>
                <w:rFonts w:hint="eastAsia"/>
                <w:color w:val="auto"/>
                <w:sz w:val="21"/>
                <w:szCs w:val="21"/>
              </w:rPr>
              <w:t>3、湿作业应采用喷洒方式保湿养护。</w:t>
            </w:r>
          </w:p>
          <w:p w14:paraId="44BAC2CF">
            <w:pPr>
              <w:spacing w:line="240" w:lineRule="auto"/>
              <w:ind w:firstLine="420"/>
              <w:rPr>
                <w:rFonts w:hint="eastAsia"/>
                <w:color w:val="auto"/>
                <w:sz w:val="21"/>
                <w:szCs w:val="21"/>
              </w:rPr>
            </w:pPr>
            <w:r>
              <w:rPr>
                <w:rFonts w:hint="eastAsia"/>
                <w:color w:val="auto"/>
                <w:sz w:val="21"/>
                <w:szCs w:val="21"/>
              </w:rPr>
              <w:t>4、施工现场切割地面块材时，应采取降噪措施；污水集中收集处理。</w:t>
            </w:r>
          </w:p>
          <w:p w14:paraId="2162EA73">
            <w:pPr>
              <w:spacing w:line="240" w:lineRule="auto"/>
              <w:ind w:firstLine="420"/>
              <w:rPr>
                <w:rFonts w:hint="eastAsia"/>
                <w:color w:val="auto"/>
                <w:sz w:val="21"/>
                <w:szCs w:val="21"/>
              </w:rPr>
            </w:pPr>
            <w:r>
              <w:rPr>
                <w:rFonts w:hint="eastAsia"/>
                <w:color w:val="auto"/>
                <w:sz w:val="21"/>
                <w:szCs w:val="21"/>
              </w:rPr>
              <w:t>5、应对地面洞口、管线口进行封堵，墙面应采取防污染措施。</w:t>
            </w:r>
          </w:p>
          <w:p w14:paraId="6C49AA10">
            <w:pPr>
              <w:spacing w:line="240" w:lineRule="auto"/>
              <w:ind w:firstLine="420"/>
              <w:rPr>
                <w:rFonts w:hint="eastAsia"/>
                <w:color w:val="auto"/>
                <w:sz w:val="21"/>
                <w:szCs w:val="21"/>
              </w:rPr>
            </w:pPr>
            <w:r>
              <w:rPr>
                <w:rFonts w:hint="eastAsia"/>
                <w:color w:val="auto"/>
                <w:sz w:val="21"/>
                <w:szCs w:val="21"/>
              </w:rPr>
              <w:t>6、地面养护期内不得上人或堆物，对地面养护用水，应采用喷洒方式，严禁养护用水溢流。</w:t>
            </w:r>
          </w:p>
        </w:tc>
      </w:tr>
      <w:tr w14:paraId="1183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299BD7AC">
            <w:pPr>
              <w:spacing w:line="240" w:lineRule="auto"/>
              <w:ind w:firstLine="0" w:firstLineChars="0"/>
              <w:jc w:val="center"/>
              <w:rPr>
                <w:rFonts w:hint="eastAsia"/>
                <w:color w:val="auto"/>
                <w:sz w:val="21"/>
                <w:szCs w:val="21"/>
              </w:rPr>
            </w:pPr>
            <w:r>
              <w:rPr>
                <w:rFonts w:hint="eastAsia"/>
                <w:color w:val="auto"/>
                <w:sz w:val="21"/>
                <w:szCs w:val="21"/>
              </w:rPr>
              <w:t>3</w:t>
            </w:r>
          </w:p>
        </w:tc>
        <w:tc>
          <w:tcPr>
            <w:tcW w:w="770" w:type="pct"/>
            <w:tcBorders>
              <w:top w:val="single" w:color="auto" w:sz="4" w:space="0"/>
              <w:left w:val="nil"/>
              <w:bottom w:val="single" w:color="auto" w:sz="4" w:space="0"/>
              <w:right w:val="single" w:color="auto" w:sz="4" w:space="0"/>
            </w:tcBorders>
            <w:noWrap w:val="0"/>
            <w:vAlign w:val="center"/>
          </w:tcPr>
          <w:p w14:paraId="774E06B3">
            <w:pPr>
              <w:spacing w:line="240" w:lineRule="auto"/>
              <w:ind w:firstLine="0" w:firstLineChars="0"/>
              <w:jc w:val="center"/>
              <w:rPr>
                <w:rFonts w:hint="eastAsia"/>
                <w:color w:val="auto"/>
                <w:sz w:val="21"/>
                <w:szCs w:val="21"/>
              </w:rPr>
            </w:pPr>
            <w:r>
              <w:rPr>
                <w:rFonts w:hint="eastAsia"/>
                <w:color w:val="auto"/>
                <w:sz w:val="21"/>
                <w:szCs w:val="21"/>
              </w:rPr>
              <w:t>门窗及幕墙工程</w:t>
            </w:r>
          </w:p>
        </w:tc>
        <w:tc>
          <w:tcPr>
            <w:tcW w:w="3780" w:type="pct"/>
            <w:tcBorders>
              <w:top w:val="single" w:color="auto" w:sz="4" w:space="0"/>
              <w:left w:val="nil"/>
              <w:bottom w:val="single" w:color="auto" w:sz="4" w:space="0"/>
              <w:right w:val="single" w:color="auto" w:sz="4" w:space="0"/>
            </w:tcBorders>
            <w:noWrap w:val="0"/>
            <w:vAlign w:val="center"/>
          </w:tcPr>
          <w:p w14:paraId="514E3480">
            <w:pPr>
              <w:spacing w:line="240" w:lineRule="auto"/>
              <w:ind w:firstLine="420"/>
              <w:rPr>
                <w:rFonts w:hint="eastAsia"/>
                <w:color w:val="auto"/>
                <w:sz w:val="21"/>
                <w:szCs w:val="21"/>
              </w:rPr>
            </w:pPr>
            <w:r>
              <w:rPr>
                <w:rFonts w:hint="eastAsia"/>
                <w:color w:val="auto"/>
                <w:sz w:val="21"/>
                <w:szCs w:val="21"/>
              </w:rPr>
              <w:t>1、金属门窗应采取成品保护措施。</w:t>
            </w:r>
          </w:p>
          <w:p w14:paraId="1DB2B7ED">
            <w:pPr>
              <w:spacing w:line="240" w:lineRule="auto"/>
              <w:ind w:firstLine="420"/>
              <w:rPr>
                <w:rFonts w:hint="eastAsia"/>
                <w:color w:val="auto"/>
                <w:sz w:val="21"/>
                <w:szCs w:val="21"/>
              </w:rPr>
            </w:pPr>
            <w:r>
              <w:rPr>
                <w:rFonts w:hint="eastAsia"/>
                <w:color w:val="auto"/>
                <w:sz w:val="21"/>
                <w:szCs w:val="21"/>
              </w:rPr>
              <w:t>2、外门窗安装应与外墙面装修同步进行，宜采取遮阳措施。</w:t>
            </w:r>
          </w:p>
          <w:p w14:paraId="5A2CD65A">
            <w:pPr>
              <w:spacing w:line="240" w:lineRule="auto"/>
              <w:ind w:firstLine="420"/>
              <w:rPr>
                <w:rFonts w:hint="eastAsia"/>
                <w:color w:val="auto"/>
                <w:sz w:val="21"/>
                <w:szCs w:val="21"/>
              </w:rPr>
            </w:pPr>
            <w:r>
              <w:rPr>
                <w:rFonts w:hint="eastAsia"/>
                <w:color w:val="auto"/>
                <w:sz w:val="21"/>
                <w:szCs w:val="21"/>
              </w:rPr>
              <w:t>3、门窗框周围的缝隙填充应采用憎水保温材料。</w:t>
            </w:r>
          </w:p>
          <w:p w14:paraId="71ABFB66">
            <w:pPr>
              <w:spacing w:line="240" w:lineRule="auto"/>
              <w:ind w:firstLine="420"/>
              <w:rPr>
                <w:rFonts w:hint="eastAsia"/>
                <w:color w:val="auto"/>
                <w:sz w:val="21"/>
                <w:szCs w:val="21"/>
              </w:rPr>
            </w:pPr>
            <w:r>
              <w:rPr>
                <w:rFonts w:hint="eastAsia"/>
                <w:color w:val="auto"/>
                <w:sz w:val="21"/>
                <w:szCs w:val="21"/>
              </w:rPr>
              <w:t>4、幕墙与主体结构的预埋件应在结构施工时埋设。</w:t>
            </w:r>
          </w:p>
          <w:p w14:paraId="7E6E6BD6">
            <w:pPr>
              <w:spacing w:line="240" w:lineRule="auto"/>
              <w:ind w:firstLine="420"/>
              <w:rPr>
                <w:rFonts w:hint="eastAsia"/>
                <w:color w:val="auto"/>
                <w:sz w:val="21"/>
                <w:szCs w:val="21"/>
              </w:rPr>
            </w:pPr>
            <w:r>
              <w:rPr>
                <w:rFonts w:hint="eastAsia"/>
                <w:color w:val="auto"/>
                <w:sz w:val="21"/>
                <w:szCs w:val="21"/>
              </w:rPr>
              <w:t>5、连接件应采用耐腐蚀材料或采取可靠的防腐措施。</w:t>
            </w:r>
          </w:p>
          <w:p w14:paraId="515D0BC7">
            <w:pPr>
              <w:spacing w:line="240" w:lineRule="auto"/>
              <w:ind w:firstLine="420"/>
              <w:rPr>
                <w:rFonts w:hint="eastAsia"/>
                <w:color w:val="auto"/>
                <w:sz w:val="21"/>
                <w:szCs w:val="21"/>
              </w:rPr>
            </w:pPr>
            <w:r>
              <w:rPr>
                <w:rFonts w:hint="eastAsia"/>
                <w:color w:val="auto"/>
                <w:sz w:val="21"/>
                <w:szCs w:val="21"/>
              </w:rPr>
              <w:t>6、硅胶使用应进行相容性和耐候性复试。</w:t>
            </w:r>
          </w:p>
        </w:tc>
      </w:tr>
      <w:tr w14:paraId="530E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17F85392">
            <w:pPr>
              <w:spacing w:line="240" w:lineRule="auto"/>
              <w:ind w:firstLine="0" w:firstLineChars="0"/>
              <w:jc w:val="center"/>
              <w:rPr>
                <w:rFonts w:hint="eastAsia"/>
                <w:color w:val="auto"/>
                <w:sz w:val="21"/>
                <w:szCs w:val="21"/>
              </w:rPr>
            </w:pPr>
            <w:r>
              <w:rPr>
                <w:rFonts w:hint="eastAsia"/>
                <w:color w:val="auto"/>
                <w:sz w:val="21"/>
                <w:szCs w:val="21"/>
              </w:rPr>
              <w:t>4</w:t>
            </w:r>
          </w:p>
        </w:tc>
        <w:tc>
          <w:tcPr>
            <w:tcW w:w="770" w:type="pct"/>
            <w:tcBorders>
              <w:top w:val="single" w:color="auto" w:sz="4" w:space="0"/>
              <w:left w:val="nil"/>
              <w:bottom w:val="single" w:color="auto" w:sz="4" w:space="0"/>
              <w:right w:val="single" w:color="auto" w:sz="4" w:space="0"/>
            </w:tcBorders>
            <w:noWrap w:val="0"/>
            <w:vAlign w:val="center"/>
          </w:tcPr>
          <w:p w14:paraId="353656A1">
            <w:pPr>
              <w:spacing w:line="240" w:lineRule="auto"/>
              <w:ind w:firstLine="0" w:firstLineChars="0"/>
              <w:jc w:val="center"/>
              <w:rPr>
                <w:rFonts w:hint="eastAsia"/>
                <w:color w:val="auto"/>
                <w:sz w:val="21"/>
                <w:szCs w:val="21"/>
              </w:rPr>
            </w:pPr>
            <w:r>
              <w:rPr>
                <w:rFonts w:hint="eastAsia"/>
                <w:color w:val="auto"/>
                <w:sz w:val="21"/>
                <w:szCs w:val="21"/>
              </w:rPr>
              <w:t>装饰装修工程</w:t>
            </w:r>
          </w:p>
        </w:tc>
        <w:tc>
          <w:tcPr>
            <w:tcW w:w="3780" w:type="pct"/>
            <w:tcBorders>
              <w:top w:val="single" w:color="auto" w:sz="4" w:space="0"/>
              <w:left w:val="nil"/>
              <w:bottom w:val="single" w:color="auto" w:sz="4" w:space="0"/>
              <w:right w:val="single" w:color="auto" w:sz="4" w:space="0"/>
            </w:tcBorders>
            <w:noWrap w:val="0"/>
            <w:vAlign w:val="center"/>
          </w:tcPr>
          <w:p w14:paraId="77DDB200">
            <w:pPr>
              <w:spacing w:line="240" w:lineRule="auto"/>
              <w:ind w:firstLine="420"/>
              <w:rPr>
                <w:rFonts w:hint="eastAsia"/>
                <w:color w:val="auto"/>
                <w:sz w:val="21"/>
                <w:szCs w:val="21"/>
              </w:rPr>
            </w:pPr>
            <w:r>
              <w:rPr>
                <w:rFonts w:hint="eastAsia"/>
                <w:color w:val="auto"/>
                <w:sz w:val="21"/>
                <w:szCs w:val="21"/>
              </w:rPr>
              <w:t>1、吊顶施工应减少板材、型材的切割。</w:t>
            </w:r>
          </w:p>
          <w:p w14:paraId="1238CB12">
            <w:pPr>
              <w:spacing w:line="240" w:lineRule="auto"/>
              <w:ind w:firstLine="420"/>
              <w:rPr>
                <w:rFonts w:hint="eastAsia"/>
                <w:color w:val="auto"/>
                <w:sz w:val="21"/>
                <w:szCs w:val="21"/>
              </w:rPr>
            </w:pPr>
            <w:r>
              <w:rPr>
                <w:rFonts w:hint="eastAsia"/>
                <w:color w:val="auto"/>
                <w:sz w:val="21"/>
                <w:szCs w:val="21"/>
              </w:rPr>
              <w:t>2、应避免采用温湿度敏感材料进行大面积吊顶施工时。</w:t>
            </w:r>
          </w:p>
          <w:p w14:paraId="3C1A7D17">
            <w:pPr>
              <w:spacing w:line="240" w:lineRule="auto"/>
              <w:ind w:firstLine="420"/>
              <w:rPr>
                <w:rFonts w:hint="eastAsia"/>
                <w:color w:val="auto"/>
                <w:sz w:val="21"/>
                <w:szCs w:val="21"/>
              </w:rPr>
            </w:pPr>
            <w:r>
              <w:rPr>
                <w:rFonts w:hint="eastAsia"/>
                <w:color w:val="auto"/>
                <w:sz w:val="21"/>
                <w:szCs w:val="21"/>
              </w:rPr>
              <w:t>3、高大空间吊顶施工时，宜采用可移动式操作平台等节能节材设施。</w:t>
            </w:r>
          </w:p>
        </w:tc>
      </w:tr>
    </w:tbl>
    <w:p w14:paraId="5EB1F36A">
      <w:pPr>
        <w:ind w:firstLine="480"/>
        <w:rPr>
          <w:rFonts w:hint="eastAsia"/>
          <w:color w:val="auto"/>
        </w:rPr>
      </w:pPr>
      <w:r>
        <w:rPr>
          <w:rFonts w:hint="eastAsia"/>
          <w:color w:val="auto"/>
        </w:rPr>
        <w:t>5、机电安装工程</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468"/>
        <w:gridCol w:w="6984"/>
      </w:tblGrid>
      <w:tr w14:paraId="3FD4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AC80305">
            <w:pPr>
              <w:spacing w:line="240" w:lineRule="auto"/>
              <w:ind w:firstLine="0" w:firstLineChars="0"/>
              <w:jc w:val="center"/>
              <w:rPr>
                <w:rFonts w:hint="eastAsia"/>
                <w:color w:val="auto"/>
                <w:sz w:val="21"/>
                <w:szCs w:val="21"/>
              </w:rPr>
            </w:pPr>
            <w:r>
              <w:rPr>
                <w:rFonts w:hint="eastAsia"/>
                <w:color w:val="auto"/>
                <w:sz w:val="21"/>
                <w:szCs w:val="21"/>
              </w:rPr>
              <w:t>序号</w:t>
            </w:r>
          </w:p>
        </w:tc>
        <w:tc>
          <w:tcPr>
            <w:tcW w:w="790" w:type="pct"/>
            <w:tcBorders>
              <w:top w:val="single" w:color="auto" w:sz="4" w:space="0"/>
              <w:left w:val="nil"/>
              <w:bottom w:val="single" w:color="auto" w:sz="4" w:space="0"/>
              <w:right w:val="single" w:color="auto" w:sz="4" w:space="0"/>
            </w:tcBorders>
            <w:noWrap w:val="0"/>
            <w:vAlign w:val="center"/>
          </w:tcPr>
          <w:p w14:paraId="14E0E1C0">
            <w:pPr>
              <w:spacing w:line="240" w:lineRule="auto"/>
              <w:ind w:firstLine="0" w:firstLineChars="0"/>
              <w:jc w:val="center"/>
              <w:rPr>
                <w:rFonts w:hint="eastAsia"/>
                <w:color w:val="auto"/>
                <w:sz w:val="21"/>
                <w:szCs w:val="21"/>
              </w:rPr>
            </w:pPr>
            <w:r>
              <w:rPr>
                <w:rFonts w:hint="eastAsia"/>
                <w:color w:val="auto"/>
                <w:sz w:val="21"/>
                <w:szCs w:val="21"/>
              </w:rPr>
              <w:t>主要内容</w:t>
            </w:r>
          </w:p>
        </w:tc>
        <w:tc>
          <w:tcPr>
            <w:tcW w:w="3759" w:type="pct"/>
            <w:tcBorders>
              <w:top w:val="single" w:color="auto" w:sz="4" w:space="0"/>
              <w:left w:val="nil"/>
              <w:bottom w:val="single" w:color="auto" w:sz="4" w:space="0"/>
              <w:right w:val="single" w:color="auto" w:sz="4" w:space="0"/>
            </w:tcBorders>
            <w:noWrap w:val="0"/>
            <w:vAlign w:val="center"/>
          </w:tcPr>
          <w:p w14:paraId="45267BD2">
            <w:pPr>
              <w:spacing w:line="240" w:lineRule="auto"/>
              <w:ind w:firstLine="0" w:firstLineChars="0"/>
              <w:jc w:val="center"/>
              <w:rPr>
                <w:rFonts w:hint="eastAsia"/>
                <w:color w:val="auto"/>
                <w:sz w:val="21"/>
                <w:szCs w:val="21"/>
              </w:rPr>
            </w:pPr>
            <w:r>
              <w:rPr>
                <w:rFonts w:hint="eastAsia"/>
                <w:color w:val="auto"/>
                <w:sz w:val="21"/>
                <w:szCs w:val="21"/>
              </w:rPr>
              <w:t>具体措施</w:t>
            </w:r>
          </w:p>
        </w:tc>
      </w:tr>
      <w:tr w14:paraId="52C4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5895E52">
            <w:pPr>
              <w:spacing w:line="240" w:lineRule="auto"/>
              <w:ind w:firstLine="0" w:firstLineChars="0"/>
              <w:jc w:val="center"/>
              <w:rPr>
                <w:rFonts w:hint="eastAsia"/>
                <w:color w:val="auto"/>
                <w:sz w:val="21"/>
                <w:szCs w:val="21"/>
              </w:rPr>
            </w:pPr>
            <w:r>
              <w:rPr>
                <w:rFonts w:hint="eastAsia"/>
                <w:color w:val="auto"/>
                <w:sz w:val="21"/>
                <w:szCs w:val="21"/>
              </w:rPr>
              <w:t>1</w:t>
            </w:r>
          </w:p>
        </w:tc>
        <w:tc>
          <w:tcPr>
            <w:tcW w:w="790" w:type="pct"/>
            <w:tcBorders>
              <w:top w:val="single" w:color="auto" w:sz="4" w:space="0"/>
              <w:left w:val="nil"/>
              <w:bottom w:val="single" w:color="auto" w:sz="4" w:space="0"/>
              <w:right w:val="single" w:color="auto" w:sz="4" w:space="0"/>
            </w:tcBorders>
            <w:noWrap w:val="0"/>
            <w:vAlign w:val="center"/>
          </w:tcPr>
          <w:p w14:paraId="1DD46545">
            <w:pPr>
              <w:spacing w:line="240" w:lineRule="auto"/>
              <w:ind w:firstLine="0" w:firstLineChars="0"/>
              <w:jc w:val="center"/>
              <w:rPr>
                <w:rFonts w:hint="eastAsia"/>
                <w:color w:val="auto"/>
                <w:sz w:val="21"/>
                <w:szCs w:val="21"/>
              </w:rPr>
            </w:pPr>
            <w:r>
              <w:rPr>
                <w:rFonts w:hint="eastAsia"/>
                <w:color w:val="auto"/>
                <w:sz w:val="21"/>
                <w:szCs w:val="21"/>
              </w:rPr>
              <w:t>一般规定</w:t>
            </w:r>
          </w:p>
        </w:tc>
        <w:tc>
          <w:tcPr>
            <w:tcW w:w="3759" w:type="pct"/>
            <w:tcBorders>
              <w:top w:val="single" w:color="auto" w:sz="4" w:space="0"/>
              <w:left w:val="nil"/>
              <w:bottom w:val="single" w:color="auto" w:sz="4" w:space="0"/>
              <w:right w:val="single" w:color="auto" w:sz="4" w:space="0"/>
            </w:tcBorders>
            <w:noWrap w:val="0"/>
            <w:vAlign w:val="center"/>
          </w:tcPr>
          <w:p w14:paraId="35C0E655">
            <w:pPr>
              <w:spacing w:line="240" w:lineRule="auto"/>
              <w:ind w:firstLine="420"/>
              <w:rPr>
                <w:rFonts w:hint="eastAsia"/>
                <w:color w:val="auto"/>
                <w:sz w:val="21"/>
                <w:szCs w:val="21"/>
              </w:rPr>
            </w:pPr>
            <w:r>
              <w:rPr>
                <w:rFonts w:hint="eastAsia"/>
                <w:color w:val="auto"/>
                <w:sz w:val="21"/>
                <w:szCs w:val="21"/>
              </w:rPr>
              <w:t>1、机电安装工程施工应采用工厂化制作，整体化安装的方法。</w:t>
            </w:r>
          </w:p>
          <w:p w14:paraId="6A7E6A9A">
            <w:pPr>
              <w:spacing w:line="240" w:lineRule="auto"/>
              <w:ind w:firstLine="420"/>
              <w:rPr>
                <w:rFonts w:hint="eastAsia"/>
                <w:color w:val="auto"/>
                <w:sz w:val="21"/>
                <w:szCs w:val="21"/>
              </w:rPr>
            </w:pPr>
            <w:r>
              <w:rPr>
                <w:rFonts w:hint="eastAsia"/>
                <w:color w:val="auto"/>
                <w:sz w:val="21"/>
                <w:szCs w:val="21"/>
              </w:rPr>
              <w:t>2、机电安装工程施工前应对通风空调、给排水、强弱电、末端设施布置及装修等进行综合分析，并绘制综合管线图。</w:t>
            </w:r>
          </w:p>
          <w:p w14:paraId="4E247225">
            <w:pPr>
              <w:spacing w:line="240" w:lineRule="auto"/>
              <w:ind w:firstLine="420"/>
              <w:rPr>
                <w:rFonts w:hint="eastAsia"/>
                <w:color w:val="auto"/>
                <w:sz w:val="21"/>
                <w:szCs w:val="21"/>
              </w:rPr>
            </w:pPr>
            <w:r>
              <w:rPr>
                <w:rFonts w:hint="eastAsia"/>
                <w:color w:val="auto"/>
                <w:sz w:val="21"/>
                <w:szCs w:val="21"/>
              </w:rPr>
              <w:t>3、机电安装工程的临时设施安排应与工程总体部署协调。</w:t>
            </w:r>
          </w:p>
          <w:p w14:paraId="0EACBB3B">
            <w:pPr>
              <w:spacing w:line="240" w:lineRule="auto"/>
              <w:ind w:firstLine="420"/>
              <w:rPr>
                <w:rFonts w:hint="eastAsia"/>
                <w:color w:val="auto"/>
                <w:sz w:val="21"/>
                <w:szCs w:val="21"/>
              </w:rPr>
            </w:pPr>
            <w:r>
              <w:rPr>
                <w:rFonts w:hint="eastAsia"/>
                <w:color w:val="auto"/>
                <w:sz w:val="21"/>
                <w:szCs w:val="21"/>
              </w:rPr>
              <w:t>4、管线的预埋、预留应与土建及装修工程同步进行，不得临时剔凿。</w:t>
            </w:r>
          </w:p>
          <w:p w14:paraId="4D12CB16">
            <w:pPr>
              <w:spacing w:line="240" w:lineRule="auto"/>
              <w:ind w:firstLine="420"/>
              <w:rPr>
                <w:rFonts w:hint="eastAsia"/>
                <w:color w:val="auto"/>
                <w:sz w:val="21"/>
                <w:szCs w:val="21"/>
              </w:rPr>
            </w:pPr>
            <w:r>
              <w:rPr>
                <w:rFonts w:hint="eastAsia"/>
                <w:color w:val="auto"/>
                <w:sz w:val="21"/>
                <w:szCs w:val="21"/>
              </w:rPr>
              <w:t>5、除锈、防腐宜在工厂完成，现场涂装应采用无污染、耐候性好的材料。</w:t>
            </w:r>
          </w:p>
          <w:p w14:paraId="1CB6D826">
            <w:pPr>
              <w:spacing w:line="240" w:lineRule="auto"/>
              <w:ind w:firstLine="420"/>
              <w:rPr>
                <w:rFonts w:hint="eastAsia"/>
                <w:color w:val="auto"/>
                <w:sz w:val="21"/>
                <w:szCs w:val="21"/>
              </w:rPr>
            </w:pPr>
            <w:r>
              <w:rPr>
                <w:rFonts w:hint="eastAsia"/>
                <w:color w:val="auto"/>
                <w:sz w:val="21"/>
                <w:szCs w:val="21"/>
              </w:rPr>
              <w:t>6、机电安装工程应采用低能耗的施工机械。</w:t>
            </w:r>
          </w:p>
        </w:tc>
      </w:tr>
      <w:tr w14:paraId="4E11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03187BB">
            <w:pPr>
              <w:spacing w:line="240" w:lineRule="auto"/>
              <w:ind w:firstLine="0" w:firstLineChars="0"/>
              <w:jc w:val="center"/>
              <w:rPr>
                <w:rFonts w:hint="eastAsia"/>
                <w:color w:val="auto"/>
                <w:sz w:val="21"/>
                <w:szCs w:val="21"/>
              </w:rPr>
            </w:pPr>
            <w:r>
              <w:rPr>
                <w:rFonts w:hint="eastAsia"/>
                <w:color w:val="auto"/>
                <w:sz w:val="21"/>
                <w:szCs w:val="21"/>
              </w:rPr>
              <w:t>2</w:t>
            </w:r>
          </w:p>
        </w:tc>
        <w:tc>
          <w:tcPr>
            <w:tcW w:w="790" w:type="pct"/>
            <w:tcBorders>
              <w:top w:val="single" w:color="auto" w:sz="4" w:space="0"/>
              <w:left w:val="nil"/>
              <w:bottom w:val="single" w:color="auto" w:sz="4" w:space="0"/>
              <w:right w:val="single" w:color="auto" w:sz="4" w:space="0"/>
            </w:tcBorders>
            <w:noWrap w:val="0"/>
            <w:vAlign w:val="center"/>
          </w:tcPr>
          <w:p w14:paraId="65C125C9">
            <w:pPr>
              <w:spacing w:line="240" w:lineRule="auto"/>
              <w:ind w:firstLine="0" w:firstLineChars="0"/>
              <w:jc w:val="center"/>
              <w:rPr>
                <w:rFonts w:hint="eastAsia"/>
                <w:color w:val="auto"/>
                <w:sz w:val="21"/>
                <w:szCs w:val="21"/>
              </w:rPr>
            </w:pPr>
            <w:r>
              <w:rPr>
                <w:rFonts w:hint="eastAsia"/>
                <w:color w:val="auto"/>
                <w:sz w:val="21"/>
                <w:szCs w:val="21"/>
              </w:rPr>
              <w:t>管道工程</w:t>
            </w:r>
          </w:p>
        </w:tc>
        <w:tc>
          <w:tcPr>
            <w:tcW w:w="3759" w:type="pct"/>
            <w:tcBorders>
              <w:top w:val="single" w:color="auto" w:sz="4" w:space="0"/>
              <w:left w:val="nil"/>
              <w:bottom w:val="single" w:color="auto" w:sz="4" w:space="0"/>
              <w:right w:val="single" w:color="auto" w:sz="4" w:space="0"/>
            </w:tcBorders>
            <w:noWrap w:val="0"/>
            <w:vAlign w:val="center"/>
          </w:tcPr>
          <w:p w14:paraId="20CD14AC">
            <w:pPr>
              <w:spacing w:line="240" w:lineRule="auto"/>
              <w:ind w:firstLine="420"/>
              <w:rPr>
                <w:rFonts w:hint="eastAsia"/>
                <w:color w:val="auto"/>
                <w:sz w:val="21"/>
                <w:szCs w:val="21"/>
              </w:rPr>
            </w:pPr>
            <w:r>
              <w:rPr>
                <w:rFonts w:hint="eastAsia"/>
                <w:color w:val="auto"/>
                <w:sz w:val="21"/>
                <w:szCs w:val="21"/>
              </w:rPr>
              <w:t>1、管道连接宜采用机械连接方式。</w:t>
            </w:r>
          </w:p>
          <w:p w14:paraId="7668645B">
            <w:pPr>
              <w:spacing w:line="240" w:lineRule="auto"/>
              <w:ind w:firstLine="420"/>
              <w:rPr>
                <w:rFonts w:hint="eastAsia"/>
                <w:color w:val="auto"/>
                <w:sz w:val="21"/>
                <w:szCs w:val="21"/>
              </w:rPr>
            </w:pPr>
            <w:r>
              <w:rPr>
                <w:rFonts w:hint="eastAsia"/>
                <w:color w:val="auto"/>
                <w:sz w:val="21"/>
                <w:szCs w:val="21"/>
              </w:rPr>
              <w:t>2、采暖散热片组装应在工厂完成。</w:t>
            </w:r>
          </w:p>
          <w:p w14:paraId="0B7D6643">
            <w:pPr>
              <w:spacing w:line="240" w:lineRule="auto"/>
              <w:ind w:firstLine="420"/>
              <w:rPr>
                <w:rFonts w:hint="eastAsia"/>
                <w:color w:val="auto"/>
                <w:sz w:val="21"/>
                <w:szCs w:val="21"/>
              </w:rPr>
            </w:pPr>
            <w:r>
              <w:rPr>
                <w:rFonts w:hint="eastAsia"/>
                <w:color w:val="auto"/>
                <w:sz w:val="21"/>
                <w:szCs w:val="21"/>
              </w:rPr>
              <w:t>3、设备安装产生的油污应随即清理。</w:t>
            </w:r>
          </w:p>
          <w:p w14:paraId="06465918">
            <w:pPr>
              <w:spacing w:line="240" w:lineRule="auto"/>
              <w:ind w:firstLine="420"/>
              <w:rPr>
                <w:rFonts w:hint="eastAsia"/>
                <w:color w:val="auto"/>
                <w:sz w:val="21"/>
                <w:szCs w:val="21"/>
              </w:rPr>
            </w:pPr>
            <w:r>
              <w:rPr>
                <w:rFonts w:hint="eastAsia"/>
                <w:color w:val="auto"/>
                <w:sz w:val="21"/>
                <w:szCs w:val="21"/>
              </w:rPr>
              <w:t>4、管道试验及冲洗用水应有组织排放，处理后重复利用。</w:t>
            </w:r>
          </w:p>
          <w:p w14:paraId="4120E009">
            <w:pPr>
              <w:spacing w:line="240" w:lineRule="auto"/>
              <w:ind w:firstLine="420"/>
              <w:rPr>
                <w:rFonts w:hint="eastAsia"/>
                <w:color w:val="auto"/>
                <w:sz w:val="21"/>
                <w:szCs w:val="21"/>
              </w:rPr>
            </w:pPr>
            <w:r>
              <w:rPr>
                <w:rFonts w:hint="eastAsia"/>
                <w:color w:val="auto"/>
                <w:sz w:val="21"/>
                <w:szCs w:val="21"/>
              </w:rPr>
              <w:t>5、污水管道、雨水管道试验及冲洗用水宜利用非自来水水源。</w:t>
            </w:r>
          </w:p>
        </w:tc>
      </w:tr>
      <w:tr w14:paraId="18E5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9AC4781">
            <w:pPr>
              <w:spacing w:line="240" w:lineRule="auto"/>
              <w:ind w:firstLine="0" w:firstLineChars="0"/>
              <w:jc w:val="center"/>
              <w:rPr>
                <w:rFonts w:hint="eastAsia"/>
                <w:color w:val="auto"/>
                <w:sz w:val="21"/>
                <w:szCs w:val="21"/>
              </w:rPr>
            </w:pPr>
            <w:r>
              <w:rPr>
                <w:rFonts w:hint="eastAsia"/>
                <w:color w:val="auto"/>
                <w:sz w:val="21"/>
                <w:szCs w:val="21"/>
              </w:rPr>
              <w:t>3</w:t>
            </w:r>
          </w:p>
        </w:tc>
        <w:tc>
          <w:tcPr>
            <w:tcW w:w="790" w:type="pct"/>
            <w:tcBorders>
              <w:top w:val="single" w:color="auto" w:sz="4" w:space="0"/>
              <w:left w:val="nil"/>
              <w:bottom w:val="single" w:color="auto" w:sz="4" w:space="0"/>
              <w:right w:val="single" w:color="auto" w:sz="4" w:space="0"/>
            </w:tcBorders>
            <w:noWrap w:val="0"/>
            <w:vAlign w:val="center"/>
          </w:tcPr>
          <w:p w14:paraId="46D4754D">
            <w:pPr>
              <w:spacing w:line="240" w:lineRule="auto"/>
              <w:ind w:firstLine="0" w:firstLineChars="0"/>
              <w:jc w:val="center"/>
              <w:rPr>
                <w:rFonts w:hint="eastAsia"/>
                <w:color w:val="auto"/>
                <w:sz w:val="21"/>
                <w:szCs w:val="21"/>
              </w:rPr>
            </w:pPr>
            <w:r>
              <w:rPr>
                <w:rFonts w:hint="eastAsia"/>
                <w:color w:val="auto"/>
                <w:sz w:val="21"/>
                <w:szCs w:val="21"/>
              </w:rPr>
              <w:t>通风工程</w:t>
            </w:r>
          </w:p>
        </w:tc>
        <w:tc>
          <w:tcPr>
            <w:tcW w:w="3759" w:type="pct"/>
            <w:tcBorders>
              <w:top w:val="single" w:color="auto" w:sz="4" w:space="0"/>
              <w:left w:val="nil"/>
              <w:bottom w:val="single" w:color="auto" w:sz="4" w:space="0"/>
              <w:right w:val="single" w:color="auto" w:sz="4" w:space="0"/>
            </w:tcBorders>
            <w:noWrap w:val="0"/>
            <w:vAlign w:val="center"/>
          </w:tcPr>
          <w:p w14:paraId="0809DE70">
            <w:pPr>
              <w:spacing w:line="240" w:lineRule="auto"/>
              <w:ind w:firstLine="420"/>
              <w:rPr>
                <w:rFonts w:hint="eastAsia"/>
                <w:color w:val="auto"/>
                <w:sz w:val="21"/>
                <w:szCs w:val="21"/>
              </w:rPr>
            </w:pPr>
            <w:r>
              <w:rPr>
                <w:rFonts w:hint="eastAsia"/>
                <w:color w:val="auto"/>
                <w:sz w:val="21"/>
                <w:szCs w:val="21"/>
              </w:rPr>
              <w:t>1、预制风管宜进行工厂化制作。下料时应先大管料，再小管料，先长料，后短料的顺序进行。</w:t>
            </w:r>
          </w:p>
          <w:p w14:paraId="245A737C">
            <w:pPr>
              <w:spacing w:line="240" w:lineRule="auto"/>
              <w:ind w:firstLine="420"/>
              <w:rPr>
                <w:rFonts w:hint="eastAsia"/>
                <w:color w:val="auto"/>
                <w:sz w:val="21"/>
                <w:szCs w:val="21"/>
              </w:rPr>
            </w:pPr>
            <w:r>
              <w:rPr>
                <w:rFonts w:hint="eastAsia"/>
                <w:color w:val="auto"/>
                <w:sz w:val="21"/>
                <w:szCs w:val="21"/>
              </w:rPr>
              <w:t>2、预制风管安装前应将内壁清扫干净。</w:t>
            </w:r>
          </w:p>
          <w:p w14:paraId="669E5C29">
            <w:pPr>
              <w:spacing w:line="240" w:lineRule="auto"/>
              <w:ind w:firstLine="420"/>
              <w:rPr>
                <w:rFonts w:hint="eastAsia"/>
                <w:color w:val="auto"/>
                <w:sz w:val="21"/>
                <w:szCs w:val="21"/>
              </w:rPr>
            </w:pPr>
            <w:r>
              <w:rPr>
                <w:rFonts w:hint="eastAsia"/>
                <w:color w:val="auto"/>
                <w:sz w:val="21"/>
                <w:szCs w:val="21"/>
              </w:rPr>
              <w:t>3、预制风管连接宜采用机械连接方式。</w:t>
            </w:r>
          </w:p>
          <w:p w14:paraId="047A6496">
            <w:pPr>
              <w:spacing w:line="240" w:lineRule="auto"/>
              <w:ind w:firstLine="420"/>
              <w:rPr>
                <w:rFonts w:hint="eastAsia"/>
                <w:color w:val="auto"/>
                <w:sz w:val="21"/>
                <w:szCs w:val="21"/>
              </w:rPr>
            </w:pPr>
            <w:r>
              <w:rPr>
                <w:rFonts w:hint="eastAsia"/>
                <w:color w:val="auto"/>
                <w:sz w:val="21"/>
                <w:szCs w:val="21"/>
              </w:rPr>
              <w:t>4、冷媒储存应采用压力密闭容器。</w:t>
            </w:r>
          </w:p>
        </w:tc>
      </w:tr>
      <w:tr w14:paraId="75F7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BBDCEAA">
            <w:pPr>
              <w:spacing w:line="240" w:lineRule="auto"/>
              <w:ind w:firstLine="0" w:firstLineChars="0"/>
              <w:jc w:val="center"/>
              <w:rPr>
                <w:rFonts w:hint="eastAsia"/>
                <w:color w:val="auto"/>
                <w:sz w:val="21"/>
                <w:szCs w:val="21"/>
              </w:rPr>
            </w:pPr>
            <w:r>
              <w:rPr>
                <w:rFonts w:hint="eastAsia"/>
                <w:color w:val="auto"/>
                <w:sz w:val="21"/>
                <w:szCs w:val="21"/>
              </w:rPr>
              <w:t>4</w:t>
            </w:r>
          </w:p>
        </w:tc>
        <w:tc>
          <w:tcPr>
            <w:tcW w:w="790" w:type="pct"/>
            <w:tcBorders>
              <w:top w:val="single" w:color="auto" w:sz="4" w:space="0"/>
              <w:left w:val="nil"/>
              <w:bottom w:val="single" w:color="auto" w:sz="4" w:space="0"/>
              <w:right w:val="single" w:color="auto" w:sz="4" w:space="0"/>
            </w:tcBorders>
            <w:noWrap w:val="0"/>
            <w:vAlign w:val="center"/>
          </w:tcPr>
          <w:p w14:paraId="77CF9FE0">
            <w:pPr>
              <w:spacing w:line="240" w:lineRule="auto"/>
              <w:ind w:firstLine="0" w:firstLineChars="0"/>
              <w:jc w:val="center"/>
              <w:rPr>
                <w:rFonts w:hint="eastAsia"/>
                <w:color w:val="auto"/>
                <w:sz w:val="21"/>
                <w:szCs w:val="21"/>
              </w:rPr>
            </w:pPr>
            <w:r>
              <w:rPr>
                <w:rFonts w:hint="eastAsia"/>
                <w:color w:val="auto"/>
                <w:sz w:val="21"/>
                <w:szCs w:val="21"/>
              </w:rPr>
              <w:t>电气工程</w:t>
            </w:r>
          </w:p>
        </w:tc>
        <w:tc>
          <w:tcPr>
            <w:tcW w:w="3759" w:type="pct"/>
            <w:tcBorders>
              <w:top w:val="single" w:color="auto" w:sz="4" w:space="0"/>
              <w:left w:val="nil"/>
              <w:bottom w:val="single" w:color="auto" w:sz="4" w:space="0"/>
              <w:right w:val="single" w:color="auto" w:sz="4" w:space="0"/>
            </w:tcBorders>
            <w:noWrap w:val="0"/>
            <w:vAlign w:val="center"/>
          </w:tcPr>
          <w:p w14:paraId="06BC4B81">
            <w:pPr>
              <w:spacing w:line="240" w:lineRule="auto"/>
              <w:ind w:firstLine="420"/>
              <w:rPr>
                <w:rFonts w:hint="eastAsia"/>
                <w:color w:val="auto"/>
                <w:sz w:val="21"/>
                <w:szCs w:val="21"/>
              </w:rPr>
            </w:pPr>
            <w:r>
              <w:rPr>
                <w:rFonts w:hint="eastAsia"/>
                <w:color w:val="auto"/>
                <w:sz w:val="21"/>
                <w:szCs w:val="21"/>
              </w:rPr>
              <w:t>1、电线导管暗敷应做到线路最短。</w:t>
            </w:r>
          </w:p>
          <w:p w14:paraId="675E7884">
            <w:pPr>
              <w:spacing w:line="240" w:lineRule="auto"/>
              <w:ind w:firstLine="420"/>
              <w:rPr>
                <w:rFonts w:hint="eastAsia"/>
                <w:color w:val="auto"/>
                <w:sz w:val="21"/>
                <w:szCs w:val="21"/>
              </w:rPr>
            </w:pPr>
            <w:r>
              <w:rPr>
                <w:rFonts w:hint="eastAsia"/>
                <w:color w:val="auto"/>
                <w:sz w:val="21"/>
                <w:szCs w:val="21"/>
              </w:rPr>
              <w:t>2、应选用节能型电线、电缆和灯具等，并应进行节能测试。</w:t>
            </w:r>
          </w:p>
          <w:p w14:paraId="5E0A7EEC">
            <w:pPr>
              <w:spacing w:line="240" w:lineRule="auto"/>
              <w:ind w:firstLine="420"/>
              <w:rPr>
                <w:rFonts w:hint="eastAsia"/>
                <w:color w:val="auto"/>
                <w:sz w:val="21"/>
                <w:szCs w:val="21"/>
              </w:rPr>
            </w:pPr>
            <w:r>
              <w:rPr>
                <w:rFonts w:hint="eastAsia"/>
                <w:color w:val="auto"/>
                <w:sz w:val="21"/>
                <w:szCs w:val="21"/>
              </w:rPr>
              <w:t>3、预埋管线口应采取临时封堵措施。</w:t>
            </w:r>
          </w:p>
          <w:p w14:paraId="65F26EBA">
            <w:pPr>
              <w:spacing w:line="240" w:lineRule="auto"/>
              <w:ind w:firstLine="420"/>
              <w:rPr>
                <w:rFonts w:hint="eastAsia"/>
                <w:color w:val="auto"/>
                <w:sz w:val="21"/>
                <w:szCs w:val="21"/>
              </w:rPr>
            </w:pPr>
            <w:r>
              <w:rPr>
                <w:rFonts w:hint="eastAsia"/>
                <w:color w:val="auto"/>
                <w:sz w:val="21"/>
                <w:szCs w:val="21"/>
              </w:rPr>
              <w:t>4、线路连接宜采用免焊接头和机械压接方式。</w:t>
            </w:r>
          </w:p>
          <w:p w14:paraId="639B9109">
            <w:pPr>
              <w:spacing w:line="240" w:lineRule="auto"/>
              <w:ind w:firstLine="420"/>
              <w:rPr>
                <w:rFonts w:hint="eastAsia"/>
                <w:color w:val="auto"/>
                <w:sz w:val="21"/>
                <w:szCs w:val="21"/>
              </w:rPr>
            </w:pPr>
            <w:r>
              <w:rPr>
                <w:rFonts w:hint="eastAsia"/>
                <w:color w:val="auto"/>
                <w:sz w:val="21"/>
                <w:szCs w:val="21"/>
              </w:rPr>
              <w:t>5、不间断电源安装应防止电池液泄漏，废旧电池应回收。</w:t>
            </w:r>
          </w:p>
          <w:p w14:paraId="6694FD4F">
            <w:pPr>
              <w:spacing w:line="240" w:lineRule="auto"/>
              <w:ind w:firstLine="420"/>
              <w:rPr>
                <w:rFonts w:hint="eastAsia"/>
                <w:color w:val="auto"/>
                <w:sz w:val="21"/>
                <w:szCs w:val="21"/>
              </w:rPr>
            </w:pPr>
            <w:r>
              <w:rPr>
                <w:rFonts w:hint="eastAsia"/>
                <w:color w:val="auto"/>
                <w:sz w:val="21"/>
                <w:szCs w:val="21"/>
              </w:rPr>
              <w:t>6、电气设备的试运行不低于规定时间，且不超过规定时间的1.5倍。</w:t>
            </w:r>
          </w:p>
        </w:tc>
      </w:tr>
    </w:tbl>
    <w:p w14:paraId="733A95B3">
      <w:pPr>
        <w:spacing w:line="240" w:lineRule="auto"/>
        <w:ind w:firstLine="0" w:firstLineChars="0"/>
        <w:jc w:val="center"/>
        <w:rPr>
          <w:rFonts w:hint="eastAsia"/>
          <w:color w:val="auto"/>
          <w:sz w:val="21"/>
          <w:szCs w:val="21"/>
        </w:rPr>
        <w:sectPr>
          <w:headerReference r:id="rId20" w:type="default"/>
          <w:pgSz w:w="11906" w:h="16838"/>
          <w:pgMar w:top="1418" w:right="1418" w:bottom="1418" w:left="1418" w:header="851" w:footer="992" w:gutter="0"/>
          <w:cols w:space="720" w:num="1"/>
          <w:docGrid w:type="lines" w:linePitch="326" w:charSpace="0"/>
        </w:sectPr>
      </w:pPr>
    </w:p>
    <w:p w14:paraId="527F762B">
      <w:pPr>
        <w:pStyle w:val="3"/>
        <w:rPr>
          <w:color w:val="auto"/>
        </w:rPr>
      </w:pPr>
      <w:bookmarkStart w:id="40" w:name="_Toc10180"/>
      <w:r>
        <w:rPr>
          <w:rFonts w:hint="eastAsia"/>
          <w:color w:val="auto"/>
        </w:rPr>
        <w:t>绿色施工“四节一环保”施工措施</w:t>
      </w:r>
      <w:bookmarkEnd w:id="40"/>
    </w:p>
    <w:p w14:paraId="707223B0">
      <w:pPr>
        <w:pStyle w:val="4"/>
        <w:rPr>
          <w:color w:val="auto"/>
        </w:rPr>
      </w:pPr>
      <w:bookmarkStart w:id="41" w:name="_Toc18591"/>
      <w:r>
        <w:rPr>
          <w:rFonts w:hint="eastAsia"/>
          <w:color w:val="auto"/>
          <w:lang w:val="en-US" w:eastAsia="zh-CN"/>
        </w:rPr>
        <w:t>绿色施工实施要点</w:t>
      </w:r>
      <w:bookmarkEnd w:id="41"/>
    </w:p>
    <w:p w14:paraId="37503696">
      <w:pPr>
        <w:pStyle w:val="7"/>
        <w:ind w:firstLine="0"/>
        <w:rPr>
          <w:rFonts w:hint="eastAsia"/>
          <w:color w:val="auto"/>
        </w:rPr>
      </w:pPr>
      <w:bookmarkStart w:id="42" w:name="_Toc30950"/>
      <w:r>
        <w:rPr>
          <w:rFonts w:hint="eastAsia"/>
          <w:color w:val="auto"/>
        </w:rPr>
        <w:t>环境保护要点</w:t>
      </w:r>
      <w:bookmarkEnd w:id="42"/>
    </w:p>
    <w:p w14:paraId="40578C04">
      <w:pPr>
        <w:rPr>
          <w:rFonts w:hint="eastAsia"/>
          <w:color w:val="auto"/>
        </w:rPr>
      </w:pPr>
      <w:r>
        <w:rPr>
          <w:rFonts w:hint="eastAsia"/>
          <w:color w:val="auto"/>
        </w:rPr>
        <w:t>1、扬尘控制</w:t>
      </w:r>
    </w:p>
    <w:p w14:paraId="4D29CB19">
      <w:pPr>
        <w:rPr>
          <w:rFonts w:hint="eastAsia"/>
          <w:color w:val="auto"/>
        </w:rPr>
      </w:pPr>
      <w:r>
        <w:rPr>
          <w:rFonts w:hint="eastAsia"/>
          <w:color w:val="auto"/>
        </w:rPr>
        <w:t>（1）运送土方、垃圾、设备及建筑材料等，不污损场外道路。运输容易散落、飞扬、流漏的物料的车辆，必须采取措施封闭严密，保证车辆清洁。施工现场出口应设置洗车槽。</w:t>
      </w:r>
    </w:p>
    <w:p w14:paraId="37879FEB">
      <w:pPr>
        <w:rPr>
          <w:rFonts w:hint="eastAsia"/>
          <w:color w:val="auto"/>
        </w:rPr>
      </w:pPr>
      <w:r>
        <w:rPr>
          <w:rFonts w:hint="eastAsia"/>
          <w:color w:val="auto"/>
        </w:rPr>
        <w:t>（2）土方作业阶段，采取洒水、覆盖等措施，达到作业区目测扬尘高度小于1.5m，不扩散到场区外。</w:t>
      </w:r>
    </w:p>
    <w:p w14:paraId="36EF865D">
      <w:pPr>
        <w:rPr>
          <w:rFonts w:hint="eastAsia"/>
          <w:color w:val="auto"/>
        </w:rPr>
      </w:pPr>
      <w:r>
        <w:rPr>
          <w:rFonts w:hint="eastAsia"/>
          <w:color w:val="auto"/>
        </w:rPr>
        <w:t>（3）结构施工、安装装饰装修阶段，作业区目测扬尘高度小于0.5m。对易产生扬尘的堆放材料应采取覆盖措施；对粉末状材料应封闭存放；场区内可能引起扬尘的材料及建筑垃圾搬运应有降尘措施，如覆盖、洒水等；浇筑混凝土前清理灰尘和垃圾时尽量使用吸尘器，避免使用吹风器等易产生扬尘的设备；机械剔凿作业时可用局部遮挡、掩盖、水淋等防护措施；高层或多层建筑清理垃圾应搭设封闭性临时专用道或采用容器吊运。</w:t>
      </w:r>
    </w:p>
    <w:p w14:paraId="1D4230AA">
      <w:pPr>
        <w:rPr>
          <w:rFonts w:hint="eastAsia"/>
          <w:color w:val="auto"/>
        </w:rPr>
      </w:pPr>
      <w:r>
        <w:rPr>
          <w:rFonts w:hint="eastAsia"/>
          <w:color w:val="auto"/>
        </w:rPr>
        <w:t>（4）施工现场非作业区达到目测无扬尘的要求。对现场易飞扬物质采取有效措施，如洒水、地面硬化、围档、密网覆盖、封闭等，防止扬尘产生。</w:t>
      </w:r>
    </w:p>
    <w:p w14:paraId="565F8353">
      <w:pPr>
        <w:rPr>
          <w:rFonts w:hint="eastAsia"/>
          <w:color w:val="auto"/>
        </w:rPr>
      </w:pPr>
      <w:r>
        <w:rPr>
          <w:rFonts w:hint="eastAsia"/>
          <w:color w:val="auto"/>
        </w:rPr>
        <w:t>（5）构筑物机械拆除前，做好扬尘控制计划。可采取清理积尘、拆除体洒水、设置隔档等措施。</w:t>
      </w:r>
    </w:p>
    <w:p w14:paraId="470A03BA">
      <w:pPr>
        <w:rPr>
          <w:rFonts w:hint="eastAsia"/>
          <w:color w:val="auto"/>
        </w:rPr>
      </w:pPr>
      <w:r>
        <w:rPr>
          <w:rFonts w:hint="eastAsia"/>
          <w:color w:val="auto"/>
        </w:rPr>
        <w:t>（6）构筑物爆破拆除前，做好扬尘控制计划。可采用清理积尘、淋湿地面、预湿墙体、屋面敷水袋、楼面蓄水、建筑外设高压喷雾状水系统、搭设防尘排栅和直升机投水弹等综合降尘。选择风力小的天气进行爆破作业。</w:t>
      </w:r>
    </w:p>
    <w:p w14:paraId="74D040AB">
      <w:pPr>
        <w:rPr>
          <w:rFonts w:hint="eastAsia"/>
          <w:color w:val="auto"/>
        </w:rPr>
      </w:pPr>
      <w:r>
        <w:rPr>
          <w:rFonts w:hint="eastAsia"/>
          <w:color w:val="auto"/>
        </w:rPr>
        <w:t>（7）在场界四周隔档高度位置测得的大气总悬浮颗粒物（TSP）月平均浓度与城市背景值的差值不大于0.08mg/m3。</w:t>
      </w:r>
    </w:p>
    <w:p w14:paraId="2FE29178">
      <w:pPr>
        <w:rPr>
          <w:rFonts w:hint="eastAsia"/>
          <w:color w:val="auto"/>
        </w:rPr>
      </w:pPr>
      <w:r>
        <w:rPr>
          <w:rFonts w:hint="eastAsia"/>
          <w:color w:val="auto"/>
        </w:rPr>
        <w:t>2、噪音与振动控制</w:t>
      </w:r>
    </w:p>
    <w:p w14:paraId="25D068D2">
      <w:pPr>
        <w:rPr>
          <w:rFonts w:hint="eastAsia"/>
          <w:color w:val="auto"/>
        </w:rPr>
      </w:pPr>
      <w:r>
        <w:rPr>
          <w:rFonts w:hint="eastAsia"/>
          <w:color w:val="auto"/>
        </w:rPr>
        <w:t>（1）现场噪音排放不得超过国家标准《建筑施工场界环境噪声排放标准》（GB12523-2011）的规定。</w:t>
      </w:r>
    </w:p>
    <w:p w14:paraId="55864302">
      <w:pPr>
        <w:rPr>
          <w:rFonts w:hint="eastAsia"/>
          <w:color w:val="auto"/>
        </w:rPr>
      </w:pPr>
      <w:r>
        <w:rPr>
          <w:rFonts w:hint="eastAsia"/>
          <w:color w:val="auto"/>
        </w:rPr>
        <w:t>（2）在施工场界对噪音进行实时监测与控制。监测方法执行国家标准《建筑施工场界环境噪声排放标准》（GB12523-2011）。</w:t>
      </w:r>
    </w:p>
    <w:p w14:paraId="6B4CA04C">
      <w:pPr>
        <w:rPr>
          <w:rFonts w:hint="eastAsia"/>
          <w:color w:val="auto"/>
        </w:rPr>
      </w:pPr>
      <w:r>
        <w:rPr>
          <w:rFonts w:hint="eastAsia"/>
          <w:color w:val="auto"/>
        </w:rPr>
        <w:t>（3）使用低噪音、低振动的机具，采取隔音与隔振措施，避免或减少施工噪音和振动。</w:t>
      </w:r>
    </w:p>
    <w:p w14:paraId="354D3154">
      <w:pPr>
        <w:rPr>
          <w:rFonts w:hint="eastAsia"/>
          <w:color w:val="auto"/>
        </w:rPr>
      </w:pPr>
      <w:r>
        <w:rPr>
          <w:rFonts w:hint="eastAsia"/>
          <w:color w:val="auto"/>
        </w:rPr>
        <w:t>3、光污染控制</w:t>
      </w:r>
    </w:p>
    <w:p w14:paraId="14266CFB">
      <w:pPr>
        <w:rPr>
          <w:rFonts w:hint="eastAsia"/>
          <w:color w:val="auto"/>
        </w:rPr>
      </w:pPr>
      <w:r>
        <w:rPr>
          <w:rFonts w:hint="eastAsia"/>
          <w:color w:val="auto"/>
        </w:rPr>
        <w:t>（1）尽量避免或减少施工过程中的光污染。夜间室外照明灯加设灯罩，透光方向集中在施工范围。</w:t>
      </w:r>
    </w:p>
    <w:p w14:paraId="6AD1D93B">
      <w:pPr>
        <w:rPr>
          <w:rFonts w:hint="eastAsia"/>
          <w:color w:val="auto"/>
        </w:rPr>
      </w:pPr>
      <w:r>
        <w:rPr>
          <w:rFonts w:hint="eastAsia"/>
          <w:color w:val="auto"/>
        </w:rPr>
        <w:t>（2）电焊作业采取遮挡措施，避免电焊弧光外泄。</w:t>
      </w:r>
    </w:p>
    <w:p w14:paraId="033FCD87">
      <w:pPr>
        <w:rPr>
          <w:rFonts w:hint="eastAsia"/>
          <w:color w:val="auto"/>
        </w:rPr>
      </w:pPr>
      <w:r>
        <w:rPr>
          <w:rFonts w:hint="eastAsia"/>
          <w:color w:val="auto"/>
        </w:rPr>
        <w:t>4、水污染控制</w:t>
      </w:r>
    </w:p>
    <w:p w14:paraId="58136A0F">
      <w:pPr>
        <w:rPr>
          <w:rFonts w:hint="eastAsia"/>
          <w:color w:val="auto"/>
        </w:rPr>
      </w:pPr>
      <w:r>
        <w:rPr>
          <w:rFonts w:hint="eastAsia"/>
          <w:color w:val="auto"/>
        </w:rPr>
        <w:t>（1）施工现场污水排放应达到国家标准《污水综合排放标准》的要求。</w:t>
      </w:r>
    </w:p>
    <w:p w14:paraId="6C0F30E5">
      <w:pPr>
        <w:rPr>
          <w:rFonts w:hint="eastAsia"/>
          <w:color w:val="auto"/>
        </w:rPr>
      </w:pPr>
      <w:r>
        <w:rPr>
          <w:rFonts w:hint="eastAsia"/>
          <w:color w:val="auto"/>
        </w:rPr>
        <w:t>（2）在施工现场应针对不同的污水，设置相应的处理设施，如沉淀池、隔油池、化粪池等。</w:t>
      </w:r>
    </w:p>
    <w:p w14:paraId="6029A16F">
      <w:pPr>
        <w:rPr>
          <w:rFonts w:hint="eastAsia"/>
          <w:color w:val="auto"/>
        </w:rPr>
      </w:pPr>
      <w:r>
        <w:rPr>
          <w:rFonts w:hint="eastAsia"/>
          <w:color w:val="auto"/>
        </w:rPr>
        <w:t>（3）污水排放应委托有资质的单位进行废水水质检测，提供相应的污水检测报告。</w:t>
      </w:r>
    </w:p>
    <w:p w14:paraId="3F713BA5">
      <w:pPr>
        <w:rPr>
          <w:rFonts w:hint="eastAsia"/>
          <w:color w:val="auto"/>
        </w:rPr>
      </w:pPr>
      <w:r>
        <w:rPr>
          <w:rFonts w:hint="eastAsia"/>
          <w:color w:val="auto"/>
        </w:rPr>
        <w:t>（4）保护地下水环境。采用隔水性能好的边坡支护技术。在缺水地区或地下水位持续下降的地区，基坑降水尽可能少地抽取地下水；当基坑开挖抽水量大于50万m3时，应进行地下水回灌，并避免地下水被污染。</w:t>
      </w:r>
    </w:p>
    <w:p w14:paraId="593E5847">
      <w:pPr>
        <w:rPr>
          <w:rFonts w:hint="eastAsia"/>
          <w:color w:val="auto"/>
        </w:rPr>
      </w:pPr>
      <w:r>
        <w:rPr>
          <w:rFonts w:hint="eastAsia"/>
          <w:color w:val="auto"/>
        </w:rPr>
        <w:t>（5）对于化学品等有毒材料、油料的储存地，应有严格的隔水层设计，做好渗漏液收集和处理。</w:t>
      </w:r>
    </w:p>
    <w:p w14:paraId="3C5251F4">
      <w:pPr>
        <w:rPr>
          <w:rFonts w:hint="eastAsia"/>
          <w:color w:val="auto"/>
        </w:rPr>
      </w:pPr>
      <w:r>
        <w:rPr>
          <w:rFonts w:hint="eastAsia"/>
          <w:color w:val="auto"/>
        </w:rPr>
        <w:t>5、土壤保护</w:t>
      </w:r>
    </w:p>
    <w:p w14:paraId="1FC4E7CD">
      <w:pPr>
        <w:rPr>
          <w:rFonts w:hint="eastAsia"/>
          <w:color w:val="auto"/>
        </w:rPr>
      </w:pPr>
      <w:r>
        <w:rPr>
          <w:rFonts w:hint="eastAsia"/>
          <w:color w:val="auto"/>
        </w:rPr>
        <w:t>（1）保护地表环境，防止土壤侵蚀、流失。因施工造成的裸土，及时覆盖砂石或种植速生草种，以减少土壤侵蚀；因施工造成容易发生地表径流土壤流失的情况，应采取设置地表排水系统、稳定斜坡、植被覆盖等措施，减少土壤流失。</w:t>
      </w:r>
    </w:p>
    <w:p w14:paraId="252821DA">
      <w:pPr>
        <w:rPr>
          <w:rFonts w:hint="eastAsia"/>
          <w:color w:val="auto"/>
        </w:rPr>
      </w:pPr>
      <w:r>
        <w:rPr>
          <w:rFonts w:hint="eastAsia"/>
          <w:color w:val="auto"/>
        </w:rPr>
        <w:t>（2）沉淀池、隔油池、化粪池等不发生堵塞、渗漏、溢出等现象。及时清掏各类池内沉淀物，并委托有资质的单位清运。</w:t>
      </w:r>
    </w:p>
    <w:p w14:paraId="4BB40D58">
      <w:pPr>
        <w:rPr>
          <w:rFonts w:hint="eastAsia"/>
          <w:color w:val="auto"/>
        </w:rPr>
      </w:pPr>
      <w:r>
        <w:rPr>
          <w:rFonts w:hint="eastAsia"/>
          <w:color w:val="auto"/>
        </w:rPr>
        <w:t>（3）对于有毒有害废弃物如电池、墨盒、油漆、涂料等应回收后交有资质的单位处理，不能作为建筑垃圾外运，避免污染土壤和地下水。</w:t>
      </w:r>
    </w:p>
    <w:p w14:paraId="3479DB8D">
      <w:pPr>
        <w:rPr>
          <w:rFonts w:hint="eastAsia"/>
          <w:color w:val="auto"/>
        </w:rPr>
      </w:pPr>
      <w:r>
        <w:rPr>
          <w:rFonts w:hint="eastAsia"/>
          <w:color w:val="auto"/>
        </w:rPr>
        <w:t>（4）施工后应恢复施工活动破坏的植被（一般指临时占地内）。与当地园林、环保部门或当地植物研究机构进行合作，在先前开发地区种植当地或其他合适的植物，以恢复剩余空地地貌或科学绿化，补救施工活动中人为破坏植被和地貌造成的土壤侵蚀。</w:t>
      </w:r>
    </w:p>
    <w:p w14:paraId="713D9537">
      <w:pPr>
        <w:rPr>
          <w:rFonts w:hint="eastAsia"/>
          <w:color w:val="auto"/>
        </w:rPr>
      </w:pPr>
      <w:r>
        <w:rPr>
          <w:rFonts w:hint="eastAsia"/>
          <w:color w:val="auto"/>
        </w:rPr>
        <w:t>6、建筑垃圾控制</w:t>
      </w:r>
    </w:p>
    <w:p w14:paraId="3C8203F5">
      <w:pPr>
        <w:rPr>
          <w:rFonts w:hint="eastAsia"/>
          <w:color w:val="auto"/>
        </w:rPr>
      </w:pPr>
      <w:r>
        <w:rPr>
          <w:rFonts w:hint="eastAsia"/>
          <w:color w:val="auto"/>
        </w:rPr>
        <w:t>（1）制定建筑垃圾减量化计划，每万平方米的建筑垃圾不宜超过400吨。</w:t>
      </w:r>
    </w:p>
    <w:p w14:paraId="7D1C0301">
      <w:pPr>
        <w:rPr>
          <w:rFonts w:hint="eastAsia"/>
          <w:color w:val="auto"/>
        </w:rPr>
      </w:pPr>
      <w:r>
        <w:rPr>
          <w:rFonts w:hint="eastAsia"/>
          <w:color w:val="auto"/>
        </w:rPr>
        <w:t>（2）加强建筑垃圾的回收再利用，力争建筑垃圾的再利用和回收率达到30%，建筑物拆除产生的废弃物的再利用和回收率大于40%。对于碎石类、土石方类建筑垃圾，可采用地基填埋、铺路等方式提高再利用率，力争再利用率大于50%。</w:t>
      </w:r>
    </w:p>
    <w:p w14:paraId="546D88DA">
      <w:pPr>
        <w:rPr>
          <w:rFonts w:hint="eastAsia"/>
          <w:color w:val="auto"/>
        </w:rPr>
      </w:pPr>
      <w:r>
        <w:rPr>
          <w:rFonts w:hint="eastAsia"/>
          <w:color w:val="auto"/>
        </w:rPr>
        <w:t>（3）施工现场生活区设置封闭式垃圾容器，施工场地生活垃圾实行袋装化，及时清运。对建筑垃圾进行分类，并收集到现场封闭式垃圾站，集中运出。</w:t>
      </w:r>
    </w:p>
    <w:p w14:paraId="48CA697E">
      <w:pPr>
        <w:rPr>
          <w:rFonts w:hint="eastAsia"/>
          <w:color w:val="auto"/>
        </w:rPr>
      </w:pPr>
      <w:r>
        <w:rPr>
          <w:rFonts w:hint="eastAsia"/>
          <w:color w:val="auto"/>
        </w:rPr>
        <w:t>7、地下设施、文物和资源保护</w:t>
      </w:r>
    </w:p>
    <w:p w14:paraId="37AC8D30">
      <w:pPr>
        <w:rPr>
          <w:rFonts w:hint="eastAsia"/>
          <w:color w:val="auto"/>
        </w:rPr>
      </w:pPr>
      <w:r>
        <w:rPr>
          <w:rFonts w:hint="eastAsia"/>
          <w:color w:val="auto"/>
        </w:rPr>
        <w:t>（1）施工前应调查清楚地下各种设施，做好保护计划，保证施工场地周边的各类管道、管线、建筑物、构筑物的安全运行。</w:t>
      </w:r>
    </w:p>
    <w:p w14:paraId="54CE8A0D">
      <w:pPr>
        <w:rPr>
          <w:rFonts w:hint="eastAsia"/>
          <w:color w:val="auto"/>
        </w:rPr>
      </w:pPr>
      <w:r>
        <w:rPr>
          <w:rFonts w:hint="eastAsia"/>
          <w:color w:val="auto"/>
        </w:rPr>
        <w:t>（2）施工过程中一旦发现文物，立即停止施工，保护现场并通报文物部门并协助做好工作。</w:t>
      </w:r>
    </w:p>
    <w:p w14:paraId="3D55512F">
      <w:pPr>
        <w:rPr>
          <w:rFonts w:hint="eastAsia"/>
          <w:color w:val="auto"/>
        </w:rPr>
      </w:pPr>
      <w:r>
        <w:rPr>
          <w:rFonts w:hint="eastAsia"/>
          <w:color w:val="auto"/>
        </w:rPr>
        <w:t>（3）避让、保护施工场区及周边的古树名木。</w:t>
      </w:r>
    </w:p>
    <w:p w14:paraId="2C89E984">
      <w:pPr>
        <w:rPr>
          <w:rFonts w:hint="eastAsia"/>
          <w:color w:val="auto"/>
        </w:rPr>
      </w:pPr>
      <w:r>
        <w:rPr>
          <w:rFonts w:hint="eastAsia"/>
          <w:color w:val="auto"/>
        </w:rPr>
        <w:t>（4）逐步开展统计分析施工项目的CO2排放量，以及各种不同植被和树种的CO2固定量的工作。</w:t>
      </w:r>
    </w:p>
    <w:p w14:paraId="023D4105">
      <w:pPr>
        <w:pStyle w:val="7"/>
        <w:ind w:firstLine="0"/>
        <w:rPr>
          <w:rFonts w:hint="eastAsia"/>
          <w:color w:val="auto"/>
        </w:rPr>
      </w:pPr>
      <w:bookmarkStart w:id="43" w:name="_Toc19382"/>
      <w:r>
        <w:rPr>
          <w:rFonts w:hint="eastAsia"/>
          <w:color w:val="auto"/>
        </w:rPr>
        <w:t>节材与材料资源利用技术要点</w:t>
      </w:r>
      <w:bookmarkEnd w:id="43"/>
    </w:p>
    <w:p w14:paraId="31E78352">
      <w:pPr>
        <w:rPr>
          <w:rFonts w:hint="eastAsia"/>
          <w:color w:val="auto"/>
        </w:rPr>
      </w:pPr>
      <w:r>
        <w:rPr>
          <w:rFonts w:hint="eastAsia"/>
          <w:color w:val="auto"/>
        </w:rPr>
        <w:t>1、节材措施</w:t>
      </w:r>
    </w:p>
    <w:p w14:paraId="58A61A50">
      <w:pPr>
        <w:rPr>
          <w:rFonts w:hint="eastAsia"/>
          <w:color w:val="auto"/>
        </w:rPr>
      </w:pPr>
      <w:r>
        <w:rPr>
          <w:rFonts w:hint="eastAsia"/>
          <w:color w:val="auto"/>
        </w:rPr>
        <w:t>（1）图纸会审时，应审核节材与材料资源利用的相关内容，达到材料损耗率比定额损耗率降低30%。</w:t>
      </w:r>
    </w:p>
    <w:p w14:paraId="639345E4">
      <w:pPr>
        <w:rPr>
          <w:rFonts w:hint="eastAsia"/>
          <w:color w:val="auto"/>
        </w:rPr>
      </w:pPr>
      <w:r>
        <w:rPr>
          <w:rFonts w:hint="eastAsia"/>
          <w:color w:val="auto"/>
        </w:rPr>
        <w:t>（2）根据施工进度、库存情况等合理安排材料的采购、进场时间和批次，减少库存。</w:t>
      </w:r>
    </w:p>
    <w:p w14:paraId="1B1ACBA6">
      <w:pPr>
        <w:rPr>
          <w:rFonts w:hint="eastAsia"/>
          <w:color w:val="auto"/>
        </w:rPr>
      </w:pPr>
      <w:r>
        <w:rPr>
          <w:rFonts w:hint="eastAsia"/>
          <w:color w:val="auto"/>
        </w:rPr>
        <w:t>（3）现场材料堆放有序。储存环境适宜，措施得当。保管制度健全，责任落实。</w:t>
      </w:r>
    </w:p>
    <w:p w14:paraId="394C1F9C">
      <w:pPr>
        <w:rPr>
          <w:rFonts w:hint="eastAsia"/>
          <w:color w:val="auto"/>
        </w:rPr>
      </w:pPr>
      <w:r>
        <w:rPr>
          <w:rFonts w:hint="eastAsia"/>
          <w:color w:val="auto"/>
        </w:rPr>
        <w:t>（4）材料运输工具适宜，装卸方法得当，防止损坏和遗洒。根据现场平面布置情况就近卸载，避免和减少二次搬运。</w:t>
      </w:r>
    </w:p>
    <w:p w14:paraId="6A32E222">
      <w:pPr>
        <w:rPr>
          <w:rFonts w:hint="eastAsia"/>
          <w:color w:val="auto"/>
        </w:rPr>
      </w:pPr>
      <w:r>
        <w:rPr>
          <w:rFonts w:hint="eastAsia"/>
          <w:color w:val="auto"/>
        </w:rPr>
        <w:t>（5）采取技术和管理措施提高模板、脚手架等的周转次数。</w:t>
      </w:r>
    </w:p>
    <w:p w14:paraId="60E54E77">
      <w:pPr>
        <w:rPr>
          <w:rFonts w:hint="eastAsia"/>
          <w:color w:val="auto"/>
        </w:rPr>
      </w:pPr>
      <w:r>
        <w:rPr>
          <w:rFonts w:hint="eastAsia"/>
          <w:color w:val="auto"/>
        </w:rPr>
        <w:t>（6）优化安装工程的预留、预埋、管线路径等方案。</w:t>
      </w:r>
    </w:p>
    <w:p w14:paraId="78781FAD">
      <w:pPr>
        <w:rPr>
          <w:rFonts w:hint="eastAsia"/>
          <w:color w:val="auto"/>
        </w:rPr>
      </w:pPr>
      <w:r>
        <w:rPr>
          <w:rFonts w:hint="eastAsia"/>
          <w:color w:val="auto"/>
        </w:rPr>
        <w:t>（7）应就地取材，施工现场500公里以内生产的建筑材料用量占建筑材料总重量的70％以上。</w:t>
      </w:r>
    </w:p>
    <w:p w14:paraId="24949AA8">
      <w:pPr>
        <w:rPr>
          <w:rFonts w:hint="eastAsia"/>
          <w:color w:val="auto"/>
        </w:rPr>
      </w:pPr>
      <w:r>
        <w:rPr>
          <w:rFonts w:hint="eastAsia"/>
          <w:color w:val="auto"/>
        </w:rPr>
        <w:t>2、结构材料</w:t>
      </w:r>
    </w:p>
    <w:p w14:paraId="5D82E4D6">
      <w:pPr>
        <w:rPr>
          <w:rFonts w:hint="eastAsia"/>
          <w:color w:val="auto"/>
        </w:rPr>
      </w:pPr>
      <w:r>
        <w:rPr>
          <w:rFonts w:hint="eastAsia"/>
          <w:color w:val="auto"/>
        </w:rPr>
        <w:t>（1）推广使用预拌混凝土和商品砂浆。准确计算采购数量、供应频率、施工速度等，在施工过程中动态控制。结构工程使用散装水泥。</w:t>
      </w:r>
    </w:p>
    <w:p w14:paraId="3F91BFD8">
      <w:pPr>
        <w:rPr>
          <w:rFonts w:hint="eastAsia"/>
          <w:color w:val="auto"/>
        </w:rPr>
      </w:pPr>
      <w:r>
        <w:rPr>
          <w:rFonts w:hint="eastAsia"/>
          <w:color w:val="auto"/>
        </w:rPr>
        <w:t>（2）推广使用高强钢筋和高性能混凝土，减少资源消耗。</w:t>
      </w:r>
    </w:p>
    <w:p w14:paraId="13860944">
      <w:pPr>
        <w:rPr>
          <w:rFonts w:hint="eastAsia"/>
          <w:color w:val="auto"/>
        </w:rPr>
      </w:pPr>
      <w:r>
        <w:rPr>
          <w:rFonts w:hint="eastAsia"/>
          <w:color w:val="auto"/>
        </w:rPr>
        <w:t>（3）推广钢筋专业化加工和配送。</w:t>
      </w:r>
    </w:p>
    <w:p w14:paraId="4844DAE3">
      <w:pPr>
        <w:rPr>
          <w:rFonts w:hint="eastAsia"/>
          <w:color w:val="auto"/>
        </w:rPr>
      </w:pPr>
      <w:r>
        <w:rPr>
          <w:rFonts w:hint="eastAsia"/>
          <w:color w:val="auto"/>
        </w:rPr>
        <w:t>（4）优化钢筋配料和钢构件下料方案。钢筋制作前应对下料单及样品进行复核，无误后方可批量下料。</w:t>
      </w:r>
    </w:p>
    <w:p w14:paraId="63307F3D">
      <w:pPr>
        <w:rPr>
          <w:rFonts w:hint="eastAsia"/>
          <w:color w:val="auto"/>
        </w:rPr>
      </w:pPr>
      <w:r>
        <w:rPr>
          <w:rFonts w:hint="eastAsia"/>
          <w:color w:val="auto"/>
        </w:rPr>
        <w:t>（5）采取数字化技术，对大体积混凝土、大跨度结构等专项施工方案进行优化。</w:t>
      </w:r>
    </w:p>
    <w:p w14:paraId="26274F45">
      <w:pPr>
        <w:rPr>
          <w:rFonts w:hint="eastAsia"/>
          <w:color w:val="auto"/>
        </w:rPr>
      </w:pPr>
      <w:r>
        <w:rPr>
          <w:rFonts w:hint="eastAsia"/>
          <w:color w:val="auto"/>
        </w:rPr>
        <w:t>3、围护材料</w:t>
      </w:r>
    </w:p>
    <w:p w14:paraId="388DD1B8">
      <w:pPr>
        <w:rPr>
          <w:rFonts w:hint="eastAsia"/>
          <w:color w:val="auto"/>
        </w:rPr>
      </w:pPr>
      <w:r>
        <w:rPr>
          <w:rFonts w:hint="eastAsia"/>
          <w:color w:val="auto"/>
        </w:rPr>
        <w:t>（1）门窗、屋面、外墙等围护结构选用耐候性及耐久性良好的材料，施工确保密封性、防水性和保温隔热性。</w:t>
      </w:r>
    </w:p>
    <w:p w14:paraId="34A40AFC">
      <w:pPr>
        <w:rPr>
          <w:rFonts w:hint="eastAsia"/>
          <w:color w:val="auto"/>
        </w:rPr>
      </w:pPr>
      <w:r>
        <w:rPr>
          <w:rFonts w:hint="eastAsia"/>
          <w:color w:val="auto"/>
        </w:rPr>
        <w:t>（2）门窗采用密封性、保温隔热性能、隔音性能良好的型材和玻璃等材料。</w:t>
      </w:r>
    </w:p>
    <w:p w14:paraId="376BAD82">
      <w:pPr>
        <w:rPr>
          <w:rFonts w:hint="eastAsia"/>
          <w:color w:val="auto"/>
        </w:rPr>
      </w:pPr>
      <w:r>
        <w:rPr>
          <w:rFonts w:hint="eastAsia"/>
          <w:color w:val="auto"/>
        </w:rPr>
        <w:t>（3）屋面材料、外墙材料具有良好的防水性能和保温隔热性能。</w:t>
      </w:r>
    </w:p>
    <w:p w14:paraId="488A02C7">
      <w:pPr>
        <w:rPr>
          <w:rFonts w:hint="eastAsia"/>
          <w:color w:val="auto"/>
        </w:rPr>
      </w:pPr>
      <w:r>
        <w:rPr>
          <w:rFonts w:hint="eastAsia"/>
          <w:color w:val="auto"/>
        </w:rPr>
        <w:t>（4）当屋面或墙体等部位采用基层加设保温隔热系统的方式施工时，应选择高效节能、耐久性好的保温隔热材料，以减小保温隔热层的厚度及材料用量。</w:t>
      </w:r>
    </w:p>
    <w:p w14:paraId="0D7E5107">
      <w:pPr>
        <w:rPr>
          <w:rFonts w:hint="eastAsia"/>
          <w:color w:val="auto"/>
        </w:rPr>
      </w:pPr>
      <w:r>
        <w:rPr>
          <w:rFonts w:hint="eastAsia"/>
          <w:color w:val="auto"/>
        </w:rPr>
        <w:t>（5）屋面或墙体等部位的保温隔热系统采用专用的配套材料，以加强各层次之间的粘结或连接强度，确保系统的安全性和耐久性。</w:t>
      </w:r>
    </w:p>
    <w:p w14:paraId="3E6C6C46">
      <w:pPr>
        <w:rPr>
          <w:rFonts w:hint="eastAsia"/>
          <w:color w:val="auto"/>
        </w:rPr>
      </w:pPr>
      <w:r>
        <w:rPr>
          <w:rFonts w:hint="eastAsia"/>
          <w:color w:val="auto"/>
        </w:rPr>
        <w:t>（6）根据建筑物的实际特点，优选屋面或外墙的保温隔热材料系统和施工方式，例如保温板粘贴、保温板干挂、聚氨酯硬泡喷涂、保温浆料涂抹等，以保证保温隔热效果，并减少材料浪费。</w:t>
      </w:r>
    </w:p>
    <w:p w14:paraId="09C89150">
      <w:pPr>
        <w:rPr>
          <w:rFonts w:hint="eastAsia"/>
          <w:color w:val="auto"/>
        </w:rPr>
      </w:pPr>
      <w:r>
        <w:rPr>
          <w:rFonts w:hint="eastAsia"/>
          <w:color w:val="auto"/>
        </w:rPr>
        <w:t>（7）加强保温隔热系统与围护结构的节点处理，尽量降低热桥效应。针对建筑物的不同部位保温隔热特点，选用不同的保温隔热材料及系统，以做到经济适用。</w:t>
      </w:r>
    </w:p>
    <w:p w14:paraId="6C386B3B">
      <w:pPr>
        <w:rPr>
          <w:rFonts w:hint="eastAsia"/>
          <w:color w:val="auto"/>
        </w:rPr>
      </w:pPr>
      <w:r>
        <w:rPr>
          <w:rFonts w:hint="eastAsia"/>
          <w:color w:val="auto"/>
        </w:rPr>
        <w:t>4、装饰装修材料</w:t>
      </w:r>
    </w:p>
    <w:p w14:paraId="3CACCB94">
      <w:pPr>
        <w:rPr>
          <w:rFonts w:hint="eastAsia"/>
          <w:color w:val="auto"/>
        </w:rPr>
      </w:pPr>
      <w:r>
        <w:rPr>
          <w:rFonts w:hint="eastAsia"/>
          <w:color w:val="auto"/>
        </w:rPr>
        <w:t>（1）贴面类材料在施工前，应进行总体排版策划，减少非整块材的数量。</w:t>
      </w:r>
    </w:p>
    <w:p w14:paraId="389C4D35">
      <w:pPr>
        <w:rPr>
          <w:rFonts w:hint="eastAsia"/>
          <w:color w:val="auto"/>
        </w:rPr>
      </w:pPr>
      <w:r>
        <w:rPr>
          <w:rFonts w:hint="eastAsia"/>
          <w:color w:val="auto"/>
        </w:rPr>
        <w:t>（2）采用非木质的新材料或人造板材代替木质板材。</w:t>
      </w:r>
    </w:p>
    <w:p w14:paraId="57A00C29">
      <w:pPr>
        <w:rPr>
          <w:rFonts w:hint="eastAsia"/>
          <w:color w:val="auto"/>
        </w:rPr>
      </w:pPr>
      <w:r>
        <w:rPr>
          <w:rFonts w:hint="eastAsia"/>
          <w:color w:val="auto"/>
        </w:rPr>
        <w:t>（3）防水卷材、壁纸、油漆及各类涂料基层必须符合要求，避免起皮、脱落。各类油漆及粘结剂应随用随开启，不用时及时封闭。</w:t>
      </w:r>
    </w:p>
    <w:p w14:paraId="1FE6D350">
      <w:pPr>
        <w:rPr>
          <w:rFonts w:hint="eastAsia"/>
          <w:color w:val="auto"/>
        </w:rPr>
      </w:pPr>
      <w:r>
        <w:rPr>
          <w:rFonts w:hint="eastAsia"/>
          <w:color w:val="auto"/>
        </w:rPr>
        <w:t>（4）各类预留预埋应与结构施工同步。</w:t>
      </w:r>
    </w:p>
    <w:p w14:paraId="38EFA905">
      <w:pPr>
        <w:rPr>
          <w:rFonts w:hint="eastAsia"/>
          <w:color w:val="auto"/>
        </w:rPr>
      </w:pPr>
      <w:r>
        <w:rPr>
          <w:rFonts w:hint="eastAsia"/>
          <w:color w:val="auto"/>
        </w:rPr>
        <w:t>（5）木制品及木装饰用料、玻璃等各类板材等宜在工厂采购或定制。</w:t>
      </w:r>
    </w:p>
    <w:p w14:paraId="7B4965F7">
      <w:pPr>
        <w:rPr>
          <w:rFonts w:hint="eastAsia"/>
          <w:color w:val="auto"/>
        </w:rPr>
      </w:pPr>
      <w:r>
        <w:rPr>
          <w:rFonts w:hint="eastAsia"/>
          <w:color w:val="auto"/>
        </w:rPr>
        <w:t>（6）采用自粘类片材，减少现场液态粘结剂的使用量。</w:t>
      </w:r>
    </w:p>
    <w:p w14:paraId="07365222">
      <w:pPr>
        <w:rPr>
          <w:rFonts w:hint="eastAsia"/>
          <w:color w:val="auto"/>
        </w:rPr>
      </w:pPr>
      <w:r>
        <w:rPr>
          <w:rFonts w:hint="eastAsia"/>
          <w:color w:val="auto"/>
        </w:rPr>
        <w:t>5、周转材料</w:t>
      </w:r>
    </w:p>
    <w:p w14:paraId="76BCC5F3">
      <w:pPr>
        <w:rPr>
          <w:rFonts w:hint="eastAsia"/>
          <w:color w:val="auto"/>
        </w:rPr>
      </w:pPr>
      <w:r>
        <w:rPr>
          <w:rFonts w:hint="eastAsia"/>
          <w:color w:val="auto"/>
        </w:rPr>
        <w:t>（1）应选用耐用、维护与拆卸方便的周转材料和机具。</w:t>
      </w:r>
    </w:p>
    <w:p w14:paraId="19FC7CFF">
      <w:pPr>
        <w:rPr>
          <w:rFonts w:hint="eastAsia"/>
          <w:color w:val="auto"/>
        </w:rPr>
      </w:pPr>
      <w:r>
        <w:rPr>
          <w:rFonts w:hint="eastAsia"/>
          <w:color w:val="auto"/>
        </w:rPr>
        <w:t>（2）优先选用制作、安装、拆除一体化的专业队伍进行模板工程施工。</w:t>
      </w:r>
    </w:p>
    <w:p w14:paraId="4F6B5351">
      <w:pPr>
        <w:rPr>
          <w:rFonts w:hint="eastAsia"/>
          <w:color w:val="auto"/>
        </w:rPr>
      </w:pPr>
      <w:r>
        <w:rPr>
          <w:rFonts w:hint="eastAsia"/>
          <w:color w:val="auto"/>
        </w:rPr>
        <w:t>（3）模板应以节约自然资源为原则，推广使用定型钢模、钢框竹模、竹胶板。</w:t>
      </w:r>
    </w:p>
    <w:p w14:paraId="2398785C">
      <w:pPr>
        <w:rPr>
          <w:rFonts w:hint="eastAsia"/>
          <w:color w:val="auto"/>
        </w:rPr>
      </w:pPr>
      <w:r>
        <w:rPr>
          <w:rFonts w:hint="eastAsia"/>
          <w:color w:val="auto"/>
        </w:rPr>
        <w:t>（4）施工前应对模板工程的方案进行优化。多层、高层建筑使用可重复利用的模板体系，模板支撑宜采用工具式支撑。</w:t>
      </w:r>
    </w:p>
    <w:p w14:paraId="1993DECF">
      <w:pPr>
        <w:rPr>
          <w:rFonts w:hint="eastAsia"/>
          <w:color w:val="auto"/>
        </w:rPr>
      </w:pPr>
      <w:r>
        <w:rPr>
          <w:rFonts w:hint="eastAsia"/>
          <w:color w:val="auto"/>
        </w:rPr>
        <w:t>（5）优化高层建筑的外脚手架方案，采用整体提升、分段悬挑等方案。</w:t>
      </w:r>
    </w:p>
    <w:p w14:paraId="327495B1">
      <w:pPr>
        <w:rPr>
          <w:rFonts w:hint="eastAsia"/>
          <w:color w:val="auto"/>
        </w:rPr>
      </w:pPr>
      <w:r>
        <w:rPr>
          <w:rFonts w:hint="eastAsia"/>
          <w:color w:val="auto"/>
        </w:rPr>
        <w:t>（6）推广采用外墙保温板替代混凝土施工模板的技术。</w:t>
      </w:r>
    </w:p>
    <w:p w14:paraId="13F0122F">
      <w:pPr>
        <w:rPr>
          <w:rFonts w:hint="eastAsia"/>
          <w:color w:val="auto"/>
        </w:rPr>
      </w:pPr>
      <w:r>
        <w:rPr>
          <w:rFonts w:hint="eastAsia"/>
          <w:color w:val="auto"/>
        </w:rPr>
        <w:t>（7）现场办公和生活用房采用周转式活动房。现场围挡应最大限度地利用已有围墙，或采用装配式可重复使用围挡封闭。力争工地临房、临时围挡材料的可重复使用率达到70％。</w:t>
      </w:r>
    </w:p>
    <w:p w14:paraId="527BA5B0">
      <w:pPr>
        <w:pStyle w:val="7"/>
        <w:ind w:firstLine="0"/>
        <w:rPr>
          <w:rFonts w:hint="eastAsia"/>
          <w:color w:val="auto"/>
        </w:rPr>
      </w:pPr>
      <w:bookmarkStart w:id="44" w:name="_Toc5068"/>
      <w:r>
        <w:rPr>
          <w:rFonts w:hint="eastAsia"/>
          <w:color w:val="auto"/>
        </w:rPr>
        <w:t>节水与水资源利用的技术要点</w:t>
      </w:r>
      <w:bookmarkEnd w:id="44"/>
    </w:p>
    <w:p w14:paraId="7A5CD66B">
      <w:pPr>
        <w:rPr>
          <w:rFonts w:hint="eastAsia"/>
          <w:color w:val="auto"/>
        </w:rPr>
      </w:pPr>
      <w:r>
        <w:rPr>
          <w:rFonts w:hint="eastAsia"/>
          <w:color w:val="auto"/>
        </w:rPr>
        <w:t>1、提高用水效率</w:t>
      </w:r>
    </w:p>
    <w:p w14:paraId="43171B65">
      <w:pPr>
        <w:rPr>
          <w:rFonts w:hint="eastAsia"/>
          <w:color w:val="auto"/>
        </w:rPr>
      </w:pPr>
      <w:r>
        <w:rPr>
          <w:rFonts w:hint="eastAsia"/>
          <w:color w:val="auto"/>
        </w:rPr>
        <w:t>（1）施工中采用先进的节水施工工艺。</w:t>
      </w:r>
    </w:p>
    <w:p w14:paraId="4F1523C6">
      <w:pPr>
        <w:rPr>
          <w:rFonts w:hint="eastAsia"/>
          <w:color w:val="auto"/>
        </w:rPr>
      </w:pPr>
      <w:r>
        <w:rPr>
          <w:rFonts w:hint="eastAsia"/>
          <w:color w:val="auto"/>
        </w:rPr>
        <w:t>（2）施工现场喷洒路面、绿化浇灌不宜使用市政自来水。现场搅拌用水、养护用水应采取有效的节水措施，严禁无措施浇水养护混凝土。</w:t>
      </w:r>
    </w:p>
    <w:p w14:paraId="236DF73B">
      <w:pPr>
        <w:rPr>
          <w:rFonts w:hint="eastAsia"/>
          <w:color w:val="auto"/>
        </w:rPr>
      </w:pPr>
      <w:r>
        <w:rPr>
          <w:rFonts w:hint="eastAsia"/>
          <w:color w:val="auto"/>
        </w:rPr>
        <w:t>（3）施工现场供水管网应根据用水量设计布置，管径合理、管路简捷，采取有效措施减少管网和用水器具的漏损。</w:t>
      </w:r>
    </w:p>
    <w:p w14:paraId="451939C3">
      <w:pPr>
        <w:rPr>
          <w:rFonts w:hint="eastAsia"/>
          <w:color w:val="auto"/>
        </w:rPr>
      </w:pPr>
      <w:r>
        <w:rPr>
          <w:rFonts w:hint="eastAsia"/>
          <w:color w:val="auto"/>
        </w:rPr>
        <w:t>（4）现场机具、设备、车辆冲洗用水必须设立循环用水装置。施工现场办公区、生活区的生活用水采用节水系统和节水器具，提高节水器具配置比率。项目临时用水应使用节水型产品，安装计量装置，采取针对性的节水措施。</w:t>
      </w:r>
    </w:p>
    <w:p w14:paraId="622CB62F">
      <w:pPr>
        <w:rPr>
          <w:rFonts w:hint="eastAsia"/>
          <w:color w:val="auto"/>
        </w:rPr>
      </w:pPr>
      <w:r>
        <w:rPr>
          <w:rFonts w:hint="eastAsia"/>
          <w:color w:val="auto"/>
        </w:rPr>
        <w:t>（5）施工现场建立可再利用水的收集处理系统，使水资源得到梯级循环利用。</w:t>
      </w:r>
    </w:p>
    <w:p w14:paraId="6ECE6ED3">
      <w:pPr>
        <w:rPr>
          <w:rFonts w:hint="eastAsia"/>
          <w:color w:val="auto"/>
        </w:rPr>
      </w:pPr>
      <w:r>
        <w:rPr>
          <w:rFonts w:hint="eastAsia"/>
          <w:color w:val="auto"/>
        </w:rPr>
        <w:t>（6）施工现场分别对生活用水与工程用水确定用水定额指标，并分别计量管理。</w:t>
      </w:r>
    </w:p>
    <w:p w14:paraId="3CC0337D">
      <w:pPr>
        <w:rPr>
          <w:rFonts w:hint="eastAsia"/>
          <w:color w:val="auto"/>
        </w:rPr>
      </w:pPr>
      <w:r>
        <w:rPr>
          <w:rFonts w:hint="eastAsia"/>
          <w:color w:val="auto"/>
        </w:rPr>
        <w:t>（7）大型工程的不同单项工程、不同标段、不同分包生活区，凡具备条件的应分别计量用水量。在签订不同标段分包或劳务合同时，将节水定额指标纳入合同条款，进行计量考核。</w:t>
      </w:r>
    </w:p>
    <w:p w14:paraId="48D9642D">
      <w:pPr>
        <w:rPr>
          <w:rFonts w:hint="eastAsia"/>
          <w:color w:val="auto"/>
        </w:rPr>
      </w:pPr>
      <w:r>
        <w:rPr>
          <w:rFonts w:hint="eastAsia"/>
          <w:color w:val="auto"/>
        </w:rPr>
        <w:t>（8）对混凝土搅拌站点等用水集中的区域和工艺点进行专项计量考核。施工现场建立雨水、中水或可再利用水的搜集利用系统。</w:t>
      </w:r>
    </w:p>
    <w:p w14:paraId="7184B2C4">
      <w:pPr>
        <w:rPr>
          <w:rFonts w:hint="eastAsia"/>
          <w:color w:val="auto"/>
        </w:rPr>
      </w:pPr>
      <w:r>
        <w:rPr>
          <w:rFonts w:hint="eastAsia"/>
          <w:color w:val="auto"/>
        </w:rPr>
        <w:t>2、非传统水源利用</w:t>
      </w:r>
    </w:p>
    <w:p w14:paraId="579C6F26">
      <w:pPr>
        <w:rPr>
          <w:rFonts w:hint="eastAsia"/>
          <w:color w:val="auto"/>
        </w:rPr>
      </w:pPr>
      <w:r>
        <w:rPr>
          <w:rFonts w:hint="eastAsia"/>
          <w:color w:val="auto"/>
        </w:rPr>
        <w:t>（1）优先采用中水搅拌、中水养护，有条件的地区和工程应收集雨水养护。</w:t>
      </w:r>
    </w:p>
    <w:p w14:paraId="0FE4386D">
      <w:pPr>
        <w:rPr>
          <w:rFonts w:hint="eastAsia"/>
          <w:color w:val="auto"/>
        </w:rPr>
      </w:pPr>
      <w:r>
        <w:rPr>
          <w:rFonts w:hint="eastAsia"/>
          <w:color w:val="auto"/>
        </w:rPr>
        <w:t>（2）处于基坑降水阶段的工地，宜优先采用地下水作为混凝土搅拌用水、养护用水、冲洗用水和部分生活用水。</w:t>
      </w:r>
    </w:p>
    <w:p w14:paraId="2106157D">
      <w:pPr>
        <w:rPr>
          <w:rFonts w:hint="eastAsia"/>
          <w:color w:val="auto"/>
        </w:rPr>
      </w:pPr>
      <w:r>
        <w:rPr>
          <w:rFonts w:hint="eastAsia"/>
          <w:color w:val="auto"/>
        </w:rPr>
        <w:t>（3）现场机具、设备、车辆冲洗、喷洒路面、绿化浇灌等用水，优先采用非传统水源，尽量不使用市政自来水。</w:t>
      </w:r>
    </w:p>
    <w:p w14:paraId="61DE9472">
      <w:pPr>
        <w:rPr>
          <w:rFonts w:hint="eastAsia"/>
          <w:color w:val="auto"/>
        </w:rPr>
      </w:pPr>
      <w:r>
        <w:rPr>
          <w:rFonts w:hint="eastAsia"/>
          <w:color w:val="auto"/>
        </w:rPr>
        <w:t>（4）大型施工现场，尤其是雨量充沛地区的大型施工现场建立雨水收集利用系统，充分收集自然降水用于施工和生活中适宜的部位。</w:t>
      </w:r>
    </w:p>
    <w:p w14:paraId="62ECEFA9">
      <w:pPr>
        <w:rPr>
          <w:rFonts w:hint="eastAsia"/>
          <w:color w:val="auto"/>
        </w:rPr>
      </w:pPr>
      <w:r>
        <w:rPr>
          <w:rFonts w:hint="eastAsia"/>
          <w:color w:val="auto"/>
        </w:rPr>
        <w:t>（5）力争施工中非传统水源和循环水的再利用量大于30%。</w:t>
      </w:r>
    </w:p>
    <w:p w14:paraId="21F626DF">
      <w:pPr>
        <w:rPr>
          <w:rFonts w:hint="eastAsia"/>
          <w:color w:val="auto"/>
        </w:rPr>
      </w:pPr>
      <w:r>
        <w:rPr>
          <w:rFonts w:hint="eastAsia"/>
          <w:color w:val="auto"/>
        </w:rPr>
        <w:t>3、用水安全</w:t>
      </w:r>
    </w:p>
    <w:p w14:paraId="1385FB97">
      <w:pPr>
        <w:rPr>
          <w:rFonts w:hint="eastAsia"/>
          <w:color w:val="auto"/>
        </w:rPr>
      </w:pPr>
      <w:r>
        <w:rPr>
          <w:rFonts w:hint="eastAsia"/>
          <w:color w:val="auto"/>
        </w:rPr>
        <w:t>在非传统水源和现场循环再利用水的使用过程中，应制定有效的水质检测与卫生保障措施，确保避免对人体健康、工程质量以及周围环境产生不良影响。</w:t>
      </w:r>
    </w:p>
    <w:p w14:paraId="438565E5">
      <w:pPr>
        <w:pStyle w:val="7"/>
        <w:ind w:firstLine="0"/>
        <w:rPr>
          <w:rFonts w:hint="eastAsia"/>
          <w:color w:val="auto"/>
        </w:rPr>
      </w:pPr>
      <w:bookmarkStart w:id="45" w:name="_Toc30638"/>
      <w:r>
        <w:rPr>
          <w:rFonts w:hint="eastAsia"/>
          <w:color w:val="auto"/>
        </w:rPr>
        <w:t>节能与能源利用的技术要点</w:t>
      </w:r>
      <w:bookmarkEnd w:id="45"/>
    </w:p>
    <w:p w14:paraId="117517E0">
      <w:pPr>
        <w:rPr>
          <w:rFonts w:hint="eastAsia"/>
          <w:color w:val="auto"/>
        </w:rPr>
      </w:pPr>
      <w:r>
        <w:rPr>
          <w:rFonts w:hint="eastAsia"/>
          <w:color w:val="auto"/>
        </w:rPr>
        <w:t>1、节能措施</w:t>
      </w:r>
    </w:p>
    <w:p w14:paraId="18EA0972">
      <w:pPr>
        <w:rPr>
          <w:rFonts w:hint="eastAsia"/>
          <w:color w:val="auto"/>
        </w:rPr>
      </w:pPr>
      <w:r>
        <w:rPr>
          <w:rFonts w:hint="eastAsia"/>
          <w:color w:val="auto"/>
        </w:rPr>
        <w:t>（1）制订合理施工能耗指标，提高施工能源利用率。</w:t>
      </w:r>
    </w:p>
    <w:p w14:paraId="4DF259FC">
      <w:pPr>
        <w:rPr>
          <w:rFonts w:hint="eastAsia"/>
          <w:color w:val="auto"/>
        </w:rPr>
      </w:pPr>
      <w:r>
        <w:rPr>
          <w:rFonts w:hint="eastAsia"/>
          <w:color w:val="auto"/>
        </w:rPr>
        <w:t>（2）优先使用国家、行业推荐的节能、高效、环保的施工设备和机具，如选用变频技术的节能施工设备等。</w:t>
      </w:r>
    </w:p>
    <w:p w14:paraId="1D3ACAAA">
      <w:pPr>
        <w:rPr>
          <w:rFonts w:hint="eastAsia"/>
          <w:color w:val="auto"/>
        </w:rPr>
      </w:pPr>
      <w:r>
        <w:rPr>
          <w:rFonts w:hint="eastAsia"/>
          <w:color w:val="auto"/>
        </w:rPr>
        <w:t>（3）施工现场分别设定生产、生活、办公和施工设备的用电控制指标，定期进行计量、核算、对比分析，并有预防与纠正措施。</w:t>
      </w:r>
    </w:p>
    <w:p w14:paraId="2D605E6A">
      <w:pPr>
        <w:rPr>
          <w:rFonts w:hint="eastAsia"/>
          <w:color w:val="auto"/>
        </w:rPr>
      </w:pPr>
      <w:r>
        <w:rPr>
          <w:rFonts w:hint="eastAsia"/>
          <w:color w:val="auto"/>
        </w:rPr>
        <w:t>（4）在施工组织设计中，合理安排施工顺序、工作面，以减少作业区域的机具数量，相邻作业区充分利用共有的机具资源。安排施工工艺时，应优先考虑耗用电能的或其它能耗较少的施工工艺。避免设备额定功率远大于使用功率或超负荷使用设备的现象。</w:t>
      </w:r>
    </w:p>
    <w:p w14:paraId="13EBAC09">
      <w:pPr>
        <w:rPr>
          <w:rFonts w:hint="eastAsia"/>
          <w:color w:val="auto"/>
        </w:rPr>
      </w:pPr>
      <w:r>
        <w:rPr>
          <w:rFonts w:hint="eastAsia"/>
          <w:color w:val="auto"/>
        </w:rPr>
        <w:t>（5）根据当地气候和自然资源条件，充分利用太阳能、地热等可再生能源。</w:t>
      </w:r>
    </w:p>
    <w:p w14:paraId="0C39178B">
      <w:pPr>
        <w:rPr>
          <w:rFonts w:hint="eastAsia"/>
          <w:color w:val="auto"/>
        </w:rPr>
      </w:pPr>
      <w:r>
        <w:rPr>
          <w:rFonts w:hint="eastAsia"/>
          <w:color w:val="auto"/>
        </w:rPr>
        <w:t>2、机械设备与机具</w:t>
      </w:r>
    </w:p>
    <w:p w14:paraId="3F2B8F38">
      <w:pPr>
        <w:rPr>
          <w:rFonts w:hint="eastAsia"/>
          <w:color w:val="auto"/>
        </w:rPr>
      </w:pPr>
      <w:r>
        <w:rPr>
          <w:rFonts w:hint="eastAsia"/>
          <w:color w:val="auto"/>
        </w:rPr>
        <w:t>（1）建立施工机械设备管理制度，开展用电、用油计量，完善设备档案，及时做好维修保养工作，使机械设备保持低耗、高效的状态。</w:t>
      </w:r>
    </w:p>
    <w:p w14:paraId="5D3D892E">
      <w:pPr>
        <w:rPr>
          <w:rFonts w:hint="eastAsia"/>
          <w:color w:val="auto"/>
        </w:rPr>
      </w:pPr>
      <w:r>
        <w:rPr>
          <w:rFonts w:hint="eastAsia"/>
          <w:color w:val="auto"/>
        </w:rPr>
        <w:t>（2）选择功率与负载相匹配的施工机械设备，避免大功率施工机械设备低负载长时间运行。机电安装可采用节电型机械设备，如逆变式电焊机和能耗低、效率高的手持电动工具等，以利节电。机械设备宜使用节能型油料添加剂，在可能的情况下，考虑回收利用，节约油量。</w:t>
      </w:r>
    </w:p>
    <w:p w14:paraId="10465F16">
      <w:pPr>
        <w:rPr>
          <w:rFonts w:hint="eastAsia"/>
          <w:color w:val="auto"/>
        </w:rPr>
      </w:pPr>
      <w:r>
        <w:rPr>
          <w:rFonts w:hint="eastAsia"/>
          <w:color w:val="auto"/>
        </w:rPr>
        <w:t>（3）合理安排工序，提高各种机械的使用率和满载率，降低各种设备的单位耗能。</w:t>
      </w:r>
    </w:p>
    <w:p w14:paraId="797EE76D">
      <w:pPr>
        <w:rPr>
          <w:rFonts w:hint="eastAsia"/>
          <w:color w:val="auto"/>
        </w:rPr>
      </w:pPr>
      <w:r>
        <w:rPr>
          <w:rFonts w:hint="eastAsia"/>
          <w:color w:val="auto"/>
        </w:rPr>
        <w:t>3、生产、生活及办公临时设施</w:t>
      </w:r>
    </w:p>
    <w:p w14:paraId="7493E431">
      <w:pPr>
        <w:rPr>
          <w:rFonts w:hint="eastAsia"/>
          <w:color w:val="auto"/>
        </w:rPr>
      </w:pPr>
      <w:r>
        <w:rPr>
          <w:rFonts w:hint="eastAsia"/>
          <w:color w:val="auto"/>
        </w:rPr>
        <w:t>（1）利用场地自然条件，合理设计生产、生活及办公临时设施的体形、朝向、间距和窗墙面积比，使其获得良好的日照、通风和采光。南方地区可根据需要在其外墙窗设遮阳设施。</w:t>
      </w:r>
    </w:p>
    <w:p w14:paraId="77745247">
      <w:pPr>
        <w:rPr>
          <w:rFonts w:hint="eastAsia"/>
          <w:color w:val="auto"/>
        </w:rPr>
      </w:pPr>
      <w:r>
        <w:rPr>
          <w:rFonts w:hint="eastAsia"/>
          <w:color w:val="auto"/>
        </w:rPr>
        <w:t>（2）临时设施宜采用节能材料，墙体、屋面使用隔热性能好的的材料，减少夏天空调设备的使用时间及耗能量。</w:t>
      </w:r>
    </w:p>
    <w:p w14:paraId="1057DA6E">
      <w:pPr>
        <w:rPr>
          <w:rFonts w:hint="eastAsia"/>
          <w:color w:val="auto"/>
        </w:rPr>
      </w:pPr>
      <w:r>
        <w:rPr>
          <w:rFonts w:hint="eastAsia"/>
          <w:color w:val="auto"/>
        </w:rPr>
        <w:t>（3）合理配置采暖、空调、风扇数量，规定使用时间，实行分段分时使用，节约用电。</w:t>
      </w:r>
    </w:p>
    <w:p w14:paraId="2F6145AB">
      <w:pPr>
        <w:rPr>
          <w:rFonts w:hint="eastAsia"/>
          <w:color w:val="auto"/>
        </w:rPr>
      </w:pPr>
      <w:r>
        <w:rPr>
          <w:rFonts w:hint="eastAsia"/>
          <w:color w:val="auto"/>
        </w:rPr>
        <w:t>4、施工用电及照明</w:t>
      </w:r>
    </w:p>
    <w:p w14:paraId="5AF47CC1">
      <w:pPr>
        <w:rPr>
          <w:rFonts w:hint="eastAsia"/>
          <w:color w:val="auto"/>
        </w:rPr>
      </w:pPr>
      <w:r>
        <w:rPr>
          <w:rFonts w:hint="eastAsia"/>
          <w:color w:val="auto"/>
        </w:rPr>
        <w:t>（1）临时用电优先选用节能电线和节能灯具，临电线路合理设计、布置，临电设备宜采用自动控制装置。采用声控、光控等节能照明灯具。</w:t>
      </w:r>
    </w:p>
    <w:p w14:paraId="2ADACE75">
      <w:pPr>
        <w:rPr>
          <w:rFonts w:hint="eastAsia"/>
          <w:color w:val="auto"/>
        </w:rPr>
      </w:pPr>
      <w:r>
        <w:rPr>
          <w:rFonts w:hint="eastAsia"/>
          <w:color w:val="auto"/>
        </w:rPr>
        <w:t>（2）照明设计以满足最低照度为原则，照度不应超过最低照度的20％。</w:t>
      </w:r>
    </w:p>
    <w:p w14:paraId="756161EF">
      <w:pPr>
        <w:pStyle w:val="7"/>
        <w:ind w:firstLine="0"/>
        <w:rPr>
          <w:rFonts w:hint="eastAsia"/>
          <w:color w:val="auto"/>
        </w:rPr>
      </w:pPr>
      <w:bookmarkStart w:id="46" w:name="_Toc24202"/>
      <w:r>
        <w:rPr>
          <w:rFonts w:hint="eastAsia"/>
          <w:color w:val="auto"/>
        </w:rPr>
        <w:t>地与施工用地保护的技术要点</w:t>
      </w:r>
      <w:bookmarkEnd w:id="46"/>
    </w:p>
    <w:p w14:paraId="7B033626">
      <w:pPr>
        <w:rPr>
          <w:rFonts w:hint="eastAsia"/>
          <w:color w:val="auto"/>
        </w:rPr>
      </w:pPr>
      <w:r>
        <w:rPr>
          <w:rFonts w:hint="eastAsia"/>
          <w:color w:val="auto"/>
        </w:rPr>
        <w:t>1、临时用地指标</w:t>
      </w:r>
    </w:p>
    <w:p w14:paraId="1A1A94B8">
      <w:pPr>
        <w:rPr>
          <w:rFonts w:hint="eastAsia"/>
          <w:color w:val="auto"/>
        </w:rPr>
      </w:pPr>
      <w:r>
        <w:rPr>
          <w:rFonts w:hint="eastAsia"/>
          <w:color w:val="auto"/>
        </w:rPr>
        <w:t>（1）根据施工规模及现场条件等因素合理确定临时设施，如临时加工厂、现场作业棚及材料堆场、办公生活设施等的占地指标。临时设施的占地面积应按用地指标所需的最低面积设计。</w:t>
      </w:r>
    </w:p>
    <w:p w14:paraId="1FBCAB2D">
      <w:pPr>
        <w:rPr>
          <w:rFonts w:hint="eastAsia"/>
          <w:color w:val="auto"/>
        </w:rPr>
      </w:pPr>
      <w:r>
        <w:rPr>
          <w:rFonts w:hint="eastAsia"/>
          <w:color w:val="auto"/>
        </w:rPr>
        <w:t>（2）要求平面布置合理、紧凑，在满足环境、职业健康与安全及文明施工要求的前提下尽可能减少废弃地和死角，临时设施占地面积有效利用率大于90%。</w:t>
      </w:r>
    </w:p>
    <w:p w14:paraId="721E71FB">
      <w:pPr>
        <w:rPr>
          <w:rFonts w:hint="eastAsia"/>
          <w:color w:val="auto"/>
        </w:rPr>
      </w:pPr>
      <w:r>
        <w:rPr>
          <w:rFonts w:hint="eastAsia"/>
          <w:color w:val="auto"/>
        </w:rPr>
        <w:t>2、临时用地保护</w:t>
      </w:r>
    </w:p>
    <w:p w14:paraId="3959D9EA">
      <w:pPr>
        <w:rPr>
          <w:rFonts w:hint="eastAsia"/>
          <w:color w:val="auto"/>
        </w:rPr>
      </w:pPr>
      <w:r>
        <w:rPr>
          <w:rFonts w:hint="eastAsia"/>
          <w:color w:val="auto"/>
        </w:rPr>
        <w:t>（1）应对深基坑施工方案进行优化，减少土方开挖和回填量，最大限度地减少对土地的扰动，保护周边自然生态环境。</w:t>
      </w:r>
    </w:p>
    <w:p w14:paraId="60A03E09">
      <w:pPr>
        <w:rPr>
          <w:rFonts w:hint="eastAsia"/>
          <w:color w:val="auto"/>
        </w:rPr>
      </w:pPr>
      <w:r>
        <w:rPr>
          <w:rFonts w:hint="eastAsia"/>
          <w:color w:val="auto"/>
        </w:rPr>
        <w:t>（2）红线外临时占地应尽量使用荒地、废地，少占用农田和耕地。工程完工后，及时对红线外占地恢复原地形、地貌，使施工活动对周边环境的影响降至最低。</w:t>
      </w:r>
    </w:p>
    <w:p w14:paraId="3378D899">
      <w:pPr>
        <w:rPr>
          <w:rFonts w:hint="eastAsia"/>
          <w:color w:val="auto"/>
        </w:rPr>
      </w:pPr>
      <w:r>
        <w:rPr>
          <w:rFonts w:hint="eastAsia"/>
          <w:color w:val="auto"/>
        </w:rPr>
        <w:t>（3）利用和保护施工用地范围内原有绿色植被。</w:t>
      </w:r>
    </w:p>
    <w:p w14:paraId="0E983BFC">
      <w:pPr>
        <w:rPr>
          <w:rFonts w:hint="eastAsia"/>
          <w:color w:val="auto"/>
        </w:rPr>
      </w:pPr>
      <w:r>
        <w:rPr>
          <w:rFonts w:hint="eastAsia"/>
          <w:color w:val="auto"/>
        </w:rPr>
        <w:t>3、施工总平面布置</w:t>
      </w:r>
    </w:p>
    <w:p w14:paraId="78DB449B">
      <w:pPr>
        <w:rPr>
          <w:rFonts w:hint="eastAsia"/>
          <w:color w:val="auto"/>
        </w:rPr>
      </w:pPr>
      <w:r>
        <w:rPr>
          <w:rFonts w:hint="eastAsia"/>
          <w:color w:val="auto"/>
        </w:rPr>
        <w:t>（1）施工总平面布置应做到科学、合理，充分利用原有建筑物、构筑物、道路、管线为施工服务。</w:t>
      </w:r>
    </w:p>
    <w:p w14:paraId="0726647E">
      <w:pPr>
        <w:rPr>
          <w:rFonts w:hint="eastAsia"/>
          <w:color w:val="auto"/>
        </w:rPr>
      </w:pPr>
      <w:r>
        <w:rPr>
          <w:rFonts w:hint="eastAsia"/>
          <w:color w:val="auto"/>
        </w:rPr>
        <w:t>（2）施工现场仓库、加工厂、作业棚、材料堆场等布置应尽量靠近已有交通线路或即将修建的正式或临时交通线路，缩短运输距离。</w:t>
      </w:r>
    </w:p>
    <w:p w14:paraId="453F0BEB">
      <w:pPr>
        <w:rPr>
          <w:rFonts w:hint="eastAsia"/>
          <w:color w:val="auto"/>
        </w:rPr>
      </w:pPr>
      <w:r>
        <w:rPr>
          <w:rFonts w:hint="eastAsia"/>
          <w:color w:val="auto"/>
        </w:rPr>
        <w:t>（3）临时办公和生活用房应采用经济、美观、占地面积小、对周边地貌环境影响较小，且适合于施工平面布置动态调整的箱式板房等标准化装配式结构。生活区与生产区应分开布置，并设置标准的分隔设施。</w:t>
      </w:r>
    </w:p>
    <w:p w14:paraId="787B54F9">
      <w:pPr>
        <w:rPr>
          <w:rFonts w:hint="eastAsia"/>
          <w:color w:val="auto"/>
        </w:rPr>
      </w:pPr>
      <w:r>
        <w:rPr>
          <w:rFonts w:hint="eastAsia"/>
          <w:color w:val="auto"/>
        </w:rPr>
        <w:t>（4）施工现场道路按照永久道路和临时道路相结合的原则布置。施工现场内形成环形通路，减少道路占用土地。</w:t>
      </w:r>
    </w:p>
    <w:p w14:paraId="3A88474C">
      <w:pPr>
        <w:rPr>
          <w:color w:val="auto"/>
        </w:rPr>
      </w:pPr>
      <w:r>
        <w:rPr>
          <w:rFonts w:hint="eastAsia"/>
          <w:color w:val="auto"/>
        </w:rPr>
        <w:t>（5）临时设施布置应注意远近结合，努力减少和避免大量临时建筑拆迁和场地搬迁。</w:t>
      </w:r>
    </w:p>
    <w:p w14:paraId="2F9068AB">
      <w:pPr>
        <w:pStyle w:val="4"/>
        <w:rPr>
          <w:color w:val="auto"/>
        </w:rPr>
      </w:pPr>
      <w:bookmarkStart w:id="47" w:name="_Toc23971"/>
      <w:r>
        <w:rPr>
          <w:rFonts w:hint="eastAsia"/>
          <w:color w:val="auto"/>
          <w:lang w:val="en-US" w:eastAsia="zh-CN"/>
        </w:rPr>
        <w:t>绿色施工措施一览</w:t>
      </w:r>
      <w:bookmarkEnd w:id="47"/>
    </w:p>
    <w:p w14:paraId="64596A6C">
      <w:pPr>
        <w:pStyle w:val="7"/>
        <w:rPr>
          <w:color w:val="auto"/>
        </w:rPr>
      </w:pPr>
      <w:bookmarkStart w:id="48" w:name="_Toc17345"/>
      <w:r>
        <w:rPr>
          <w:rFonts w:hint="eastAsia"/>
          <w:color w:val="auto"/>
          <w:lang w:val="en-US" w:eastAsia="zh-CN"/>
        </w:rPr>
        <w:t>绿色施工技术措施</w:t>
      </w:r>
      <w:bookmarkEnd w:id="48"/>
    </w:p>
    <w:p w14:paraId="4C4E1D2A">
      <w:pPr>
        <w:ind w:firstLine="480"/>
        <w:rPr>
          <w:rFonts w:hint="eastAsia" w:ascii="宋体" w:hAnsi="宋体" w:eastAsia="宋体" w:cs="Times New Roman"/>
          <w:color w:val="auto"/>
        </w:rPr>
      </w:pPr>
      <w:r>
        <w:rPr>
          <w:rFonts w:hint="eastAsia" w:ascii="宋体" w:hAnsi="宋体" w:eastAsia="宋体" w:cs="Times New Roman"/>
          <w:color w:val="auto"/>
        </w:rPr>
        <w:t>1、环境保护技术措施</w:t>
      </w:r>
    </w:p>
    <w:p w14:paraId="52455040">
      <w:pPr>
        <w:ind w:firstLine="480"/>
        <w:rPr>
          <w:rFonts w:hint="eastAsia" w:ascii="宋体" w:hAnsi="宋体" w:eastAsia="宋体" w:cs="Times New Roman"/>
          <w:color w:val="auto"/>
        </w:rPr>
      </w:pPr>
      <w:r>
        <w:rPr>
          <w:rFonts w:hint="eastAsia" w:ascii="宋体" w:hAnsi="宋体" w:eastAsia="宋体" w:cs="Times New Roman"/>
          <w:color w:val="auto"/>
        </w:rPr>
        <w:t>（1）扬尘控制</w:t>
      </w:r>
    </w:p>
    <w:p w14:paraId="063ADDFE">
      <w:pPr>
        <w:ind w:firstLine="480"/>
        <w:rPr>
          <w:rFonts w:hint="eastAsia" w:ascii="宋体" w:hAnsi="宋体" w:eastAsia="宋体" w:cs="Times New Roman"/>
          <w:color w:val="auto"/>
        </w:rPr>
      </w:pPr>
      <w:r>
        <w:rPr>
          <w:rFonts w:hint="eastAsia" w:ascii="宋体" w:hAnsi="宋体" w:eastAsia="宋体" w:cs="Times New Roman"/>
          <w:color w:val="auto"/>
        </w:rPr>
        <w:t>对于施工现场的各种粉尘、废气、废水、固体废物，根据环境保护和安全生产的法律法规的规定，采取措施进行控制和处理。针对施工工艺设置防尘和防噪音设施，废水沉淀排放措施等，做到不超标，不污染当地环境。</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78"/>
        <w:gridCol w:w="8508"/>
      </w:tblGrid>
      <w:tr w14:paraId="075D34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08B6CEE0">
            <w:pPr>
              <w:pStyle w:val="61"/>
              <w:spacing w:line="240" w:lineRule="auto"/>
              <w:rPr>
                <w:rFonts w:eastAsia="宋体" w:cs="Times New Roman"/>
                <w:color w:val="auto"/>
              </w:rPr>
            </w:pPr>
            <w:r>
              <w:rPr>
                <w:rFonts w:hint="eastAsia" w:eastAsia="宋体" w:cs="Times New Roman"/>
                <w:color w:val="auto"/>
              </w:rPr>
              <w:t>序号</w:t>
            </w:r>
          </w:p>
        </w:tc>
        <w:tc>
          <w:tcPr>
            <w:tcW w:w="4580" w:type="pct"/>
            <w:noWrap w:val="0"/>
            <w:vAlign w:val="top"/>
          </w:tcPr>
          <w:p w14:paraId="7AE5DCE4">
            <w:pPr>
              <w:pStyle w:val="61"/>
              <w:spacing w:line="240" w:lineRule="auto"/>
              <w:rPr>
                <w:rFonts w:eastAsia="宋体" w:cs="Times New Roman"/>
                <w:color w:val="auto"/>
              </w:rPr>
            </w:pPr>
            <w:r>
              <w:rPr>
                <w:rFonts w:hint="eastAsia" w:eastAsia="宋体" w:cs="Times New Roman"/>
                <w:color w:val="auto"/>
              </w:rPr>
              <w:t>内容</w:t>
            </w:r>
          </w:p>
        </w:tc>
      </w:tr>
      <w:tr w14:paraId="4982D0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6371E94F">
            <w:pPr>
              <w:pStyle w:val="61"/>
              <w:spacing w:line="240" w:lineRule="auto"/>
              <w:rPr>
                <w:rFonts w:eastAsia="宋体" w:cs="Times New Roman"/>
                <w:color w:val="auto"/>
              </w:rPr>
            </w:pPr>
            <w:r>
              <w:rPr>
                <w:rFonts w:eastAsia="宋体" w:cs="Times New Roman"/>
                <w:color w:val="auto"/>
              </w:rPr>
              <w:t>1</w:t>
            </w:r>
          </w:p>
        </w:tc>
        <w:tc>
          <w:tcPr>
            <w:tcW w:w="4580" w:type="pct"/>
            <w:noWrap w:val="0"/>
            <w:vAlign w:val="center"/>
          </w:tcPr>
          <w:p w14:paraId="5C1A55FE">
            <w:pPr>
              <w:pStyle w:val="61"/>
              <w:spacing w:line="240" w:lineRule="auto"/>
              <w:rPr>
                <w:rFonts w:eastAsia="宋体" w:cs="Times New Roman"/>
                <w:color w:val="auto"/>
              </w:rPr>
            </w:pPr>
            <w:r>
              <w:rPr>
                <w:rFonts w:hint="eastAsia" w:eastAsia="宋体" w:cs="Times New Roman"/>
                <w:color w:val="auto"/>
              </w:rPr>
              <w:t>土方运输车辆一律配备</w:t>
            </w:r>
            <w:r>
              <w:rPr>
                <w:rFonts w:eastAsia="宋体" w:cs="Times New Roman"/>
                <w:color w:val="auto"/>
              </w:rPr>
              <w:t>3</w:t>
            </w:r>
            <w:r>
              <w:rPr>
                <w:rFonts w:hint="eastAsia" w:eastAsia="宋体" w:cs="Times New Roman"/>
                <w:color w:val="auto"/>
              </w:rPr>
              <w:t>×</w:t>
            </w:r>
            <w:r>
              <w:rPr>
                <w:rFonts w:eastAsia="宋体" w:cs="Times New Roman"/>
                <w:color w:val="auto"/>
              </w:rPr>
              <w:t>6m</w:t>
            </w:r>
            <w:r>
              <w:rPr>
                <w:rFonts w:hint="eastAsia" w:eastAsia="宋体" w:cs="Times New Roman"/>
                <w:color w:val="auto"/>
              </w:rPr>
              <w:t>的帆布作为车厢体的封闭措施。</w:t>
            </w:r>
          </w:p>
        </w:tc>
      </w:tr>
      <w:tr w14:paraId="414DDB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33473548">
            <w:pPr>
              <w:pStyle w:val="61"/>
              <w:spacing w:line="240" w:lineRule="auto"/>
              <w:rPr>
                <w:rFonts w:eastAsia="宋体" w:cs="Times New Roman"/>
                <w:color w:val="auto"/>
              </w:rPr>
            </w:pPr>
            <w:r>
              <w:rPr>
                <w:rFonts w:eastAsia="宋体" w:cs="Times New Roman"/>
                <w:color w:val="auto"/>
              </w:rPr>
              <w:t>2</w:t>
            </w:r>
          </w:p>
        </w:tc>
        <w:tc>
          <w:tcPr>
            <w:tcW w:w="4580" w:type="pct"/>
            <w:noWrap w:val="0"/>
            <w:vAlign w:val="center"/>
          </w:tcPr>
          <w:p w14:paraId="2A51E891">
            <w:pPr>
              <w:pStyle w:val="61"/>
              <w:spacing w:line="240" w:lineRule="auto"/>
              <w:rPr>
                <w:rFonts w:eastAsia="宋体" w:cs="Times New Roman"/>
                <w:color w:val="auto"/>
              </w:rPr>
            </w:pPr>
            <w:r>
              <w:rPr>
                <w:rFonts w:hint="eastAsia" w:eastAsia="宋体" w:cs="Times New Roman"/>
                <w:color w:val="auto"/>
              </w:rPr>
              <w:t>现场出口大门设置洗车槽并配套设置三级沉淀池对冲洗废水沉淀循环使用。</w:t>
            </w:r>
          </w:p>
        </w:tc>
      </w:tr>
      <w:tr w14:paraId="36CE0B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299AC850">
            <w:pPr>
              <w:pStyle w:val="61"/>
              <w:spacing w:line="240" w:lineRule="auto"/>
              <w:rPr>
                <w:rFonts w:eastAsia="宋体" w:cs="Times New Roman"/>
                <w:color w:val="auto"/>
              </w:rPr>
            </w:pPr>
            <w:r>
              <w:rPr>
                <w:rFonts w:eastAsia="宋体" w:cs="Times New Roman"/>
                <w:color w:val="auto"/>
              </w:rPr>
              <w:t>3</w:t>
            </w:r>
          </w:p>
        </w:tc>
        <w:tc>
          <w:tcPr>
            <w:tcW w:w="4580" w:type="pct"/>
            <w:noWrap w:val="0"/>
            <w:vAlign w:val="center"/>
          </w:tcPr>
          <w:p w14:paraId="6F197CF9">
            <w:pPr>
              <w:pStyle w:val="61"/>
              <w:spacing w:line="240" w:lineRule="auto"/>
              <w:rPr>
                <w:rFonts w:eastAsia="宋体" w:cs="Times New Roman"/>
                <w:color w:val="auto"/>
              </w:rPr>
            </w:pPr>
            <w:r>
              <w:rPr>
                <w:rFonts w:hint="eastAsia" w:eastAsia="宋体" w:cs="Times New Roman"/>
                <w:color w:val="auto"/>
              </w:rPr>
              <w:t>现场道路清扫，指派劳务分包每天进行清扫并洒水降尘。</w:t>
            </w:r>
          </w:p>
        </w:tc>
      </w:tr>
      <w:tr w14:paraId="21B122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45CA109E">
            <w:pPr>
              <w:pStyle w:val="61"/>
              <w:spacing w:line="240" w:lineRule="auto"/>
              <w:rPr>
                <w:rFonts w:eastAsia="宋体" w:cs="Times New Roman"/>
                <w:color w:val="auto"/>
              </w:rPr>
            </w:pPr>
            <w:r>
              <w:rPr>
                <w:rFonts w:eastAsia="宋体" w:cs="Times New Roman"/>
                <w:color w:val="auto"/>
              </w:rPr>
              <w:t>4</w:t>
            </w:r>
          </w:p>
        </w:tc>
        <w:tc>
          <w:tcPr>
            <w:tcW w:w="4580" w:type="pct"/>
            <w:noWrap w:val="0"/>
            <w:vAlign w:val="center"/>
          </w:tcPr>
          <w:p w14:paraId="747E8DF1">
            <w:pPr>
              <w:pStyle w:val="61"/>
              <w:spacing w:line="240" w:lineRule="auto"/>
              <w:rPr>
                <w:rFonts w:eastAsia="宋体" w:cs="Times New Roman"/>
                <w:color w:val="auto"/>
              </w:rPr>
            </w:pPr>
            <w:r>
              <w:rPr>
                <w:rFonts w:hint="eastAsia" w:eastAsia="宋体" w:cs="Times New Roman"/>
                <w:color w:val="auto"/>
              </w:rPr>
              <w:t>场区内临时道路限速</w:t>
            </w:r>
            <w:r>
              <w:rPr>
                <w:rFonts w:eastAsia="宋体" w:cs="Times New Roman"/>
                <w:color w:val="auto"/>
              </w:rPr>
              <w:t>15</w:t>
            </w:r>
            <w:r>
              <w:rPr>
                <w:rFonts w:hint="eastAsia" w:eastAsia="宋体" w:cs="Times New Roman"/>
                <w:color w:val="auto"/>
              </w:rPr>
              <w:t>公里</w:t>
            </w:r>
            <w:r>
              <w:rPr>
                <w:rFonts w:eastAsia="宋体" w:cs="Times New Roman"/>
                <w:color w:val="auto"/>
              </w:rPr>
              <w:t>/</w:t>
            </w:r>
            <w:r>
              <w:rPr>
                <w:rFonts w:hint="eastAsia" w:eastAsia="宋体" w:cs="Times New Roman"/>
                <w:color w:val="auto"/>
              </w:rPr>
              <w:t>小时。</w:t>
            </w:r>
          </w:p>
        </w:tc>
      </w:tr>
      <w:tr w14:paraId="79DF80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3B663873">
            <w:pPr>
              <w:pStyle w:val="61"/>
              <w:spacing w:line="240" w:lineRule="auto"/>
              <w:rPr>
                <w:rFonts w:eastAsia="宋体" w:cs="Times New Roman"/>
                <w:color w:val="auto"/>
              </w:rPr>
            </w:pPr>
            <w:r>
              <w:rPr>
                <w:rFonts w:eastAsia="宋体" w:cs="Times New Roman"/>
                <w:color w:val="auto"/>
              </w:rPr>
              <w:t>5</w:t>
            </w:r>
          </w:p>
        </w:tc>
        <w:tc>
          <w:tcPr>
            <w:tcW w:w="4580" w:type="pct"/>
            <w:noWrap w:val="0"/>
            <w:vAlign w:val="center"/>
          </w:tcPr>
          <w:p w14:paraId="6D5CA407">
            <w:pPr>
              <w:pStyle w:val="61"/>
              <w:spacing w:line="240" w:lineRule="auto"/>
              <w:rPr>
                <w:rFonts w:eastAsia="宋体" w:cs="Times New Roman"/>
                <w:color w:val="auto"/>
              </w:rPr>
            </w:pPr>
            <w:r>
              <w:rPr>
                <w:rFonts w:hint="eastAsia" w:eastAsia="宋体" w:cs="Times New Roman"/>
                <w:color w:val="auto"/>
              </w:rPr>
              <w:t>随主体结构施工进度，在建筑物四周采用密目安全网进行全封闭。</w:t>
            </w:r>
          </w:p>
        </w:tc>
      </w:tr>
      <w:tr w14:paraId="4D7064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587AD598">
            <w:pPr>
              <w:pStyle w:val="61"/>
              <w:spacing w:line="240" w:lineRule="auto"/>
              <w:rPr>
                <w:rFonts w:eastAsia="宋体" w:cs="Times New Roman"/>
                <w:color w:val="auto"/>
              </w:rPr>
            </w:pPr>
            <w:r>
              <w:rPr>
                <w:rFonts w:eastAsia="宋体" w:cs="Times New Roman"/>
                <w:color w:val="auto"/>
              </w:rPr>
              <w:t>6</w:t>
            </w:r>
          </w:p>
        </w:tc>
        <w:tc>
          <w:tcPr>
            <w:tcW w:w="4580" w:type="pct"/>
            <w:noWrap w:val="0"/>
            <w:vAlign w:val="center"/>
          </w:tcPr>
          <w:p w14:paraId="582383D8">
            <w:pPr>
              <w:pStyle w:val="61"/>
              <w:spacing w:line="240" w:lineRule="auto"/>
              <w:rPr>
                <w:rFonts w:eastAsia="宋体" w:cs="Times New Roman"/>
                <w:color w:val="auto"/>
              </w:rPr>
            </w:pPr>
            <w:r>
              <w:rPr>
                <w:rFonts w:hint="eastAsia" w:eastAsia="宋体" w:cs="Times New Roman"/>
                <w:color w:val="auto"/>
              </w:rPr>
              <w:t>混凝土流浆、剔凿胀模的混凝土碎渣等建筑垃圾采用袋装密封，防治运输过程中扬尘。</w:t>
            </w:r>
          </w:p>
        </w:tc>
      </w:tr>
      <w:tr w14:paraId="02204C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026B8F20">
            <w:pPr>
              <w:pStyle w:val="61"/>
              <w:spacing w:line="240" w:lineRule="auto"/>
              <w:rPr>
                <w:rFonts w:eastAsia="宋体" w:cs="Times New Roman"/>
                <w:color w:val="auto"/>
              </w:rPr>
            </w:pPr>
            <w:r>
              <w:rPr>
                <w:rFonts w:eastAsia="宋体" w:cs="Times New Roman"/>
                <w:color w:val="auto"/>
              </w:rPr>
              <w:t>7</w:t>
            </w:r>
          </w:p>
        </w:tc>
        <w:tc>
          <w:tcPr>
            <w:tcW w:w="4580" w:type="pct"/>
            <w:noWrap w:val="0"/>
            <w:vAlign w:val="center"/>
          </w:tcPr>
          <w:p w14:paraId="07B8AC4B">
            <w:pPr>
              <w:pStyle w:val="61"/>
              <w:spacing w:line="240" w:lineRule="auto"/>
              <w:rPr>
                <w:rFonts w:eastAsia="宋体" w:cs="Times New Roman"/>
                <w:color w:val="auto"/>
              </w:rPr>
            </w:pPr>
            <w:r>
              <w:rPr>
                <w:rFonts w:hint="eastAsia" w:eastAsia="宋体" w:cs="Times New Roman"/>
                <w:color w:val="auto"/>
              </w:rPr>
              <w:t>楼层清扫时，洒水降尘，垃圾袋装运输。</w:t>
            </w:r>
          </w:p>
        </w:tc>
      </w:tr>
      <w:tr w14:paraId="605953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4C8DB73E">
            <w:pPr>
              <w:pStyle w:val="61"/>
              <w:spacing w:line="240" w:lineRule="auto"/>
              <w:rPr>
                <w:rFonts w:eastAsia="宋体" w:cs="Times New Roman"/>
                <w:color w:val="auto"/>
              </w:rPr>
            </w:pPr>
            <w:r>
              <w:rPr>
                <w:rFonts w:eastAsia="宋体" w:cs="Times New Roman"/>
                <w:color w:val="auto"/>
              </w:rPr>
              <w:t>8</w:t>
            </w:r>
          </w:p>
        </w:tc>
        <w:tc>
          <w:tcPr>
            <w:tcW w:w="4580" w:type="pct"/>
            <w:noWrap w:val="0"/>
            <w:vAlign w:val="center"/>
          </w:tcPr>
          <w:p w14:paraId="731D0304">
            <w:pPr>
              <w:pStyle w:val="61"/>
              <w:spacing w:line="240" w:lineRule="auto"/>
              <w:rPr>
                <w:rFonts w:eastAsia="宋体" w:cs="Times New Roman"/>
                <w:color w:val="auto"/>
              </w:rPr>
            </w:pPr>
            <w:r>
              <w:rPr>
                <w:rFonts w:hint="eastAsia" w:eastAsia="宋体" w:cs="Times New Roman"/>
                <w:color w:val="auto"/>
              </w:rPr>
              <w:t>每班下班前清扫木工房锯末并装袋存放。</w:t>
            </w:r>
          </w:p>
        </w:tc>
      </w:tr>
      <w:tr w14:paraId="41C1B9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043D9CA4">
            <w:pPr>
              <w:pStyle w:val="61"/>
              <w:spacing w:line="240" w:lineRule="auto"/>
              <w:rPr>
                <w:rFonts w:eastAsia="宋体" w:cs="Times New Roman"/>
                <w:color w:val="auto"/>
              </w:rPr>
            </w:pPr>
            <w:r>
              <w:rPr>
                <w:rFonts w:eastAsia="宋体" w:cs="Times New Roman"/>
                <w:color w:val="auto"/>
              </w:rPr>
              <w:t>9</w:t>
            </w:r>
          </w:p>
        </w:tc>
        <w:tc>
          <w:tcPr>
            <w:tcW w:w="4580" w:type="pct"/>
            <w:noWrap w:val="0"/>
            <w:vAlign w:val="center"/>
          </w:tcPr>
          <w:p w14:paraId="2D7A0DEC">
            <w:pPr>
              <w:pStyle w:val="61"/>
              <w:spacing w:line="240" w:lineRule="auto"/>
              <w:rPr>
                <w:rFonts w:eastAsia="宋体" w:cs="Times New Roman"/>
                <w:color w:val="auto"/>
              </w:rPr>
            </w:pPr>
            <w:r>
              <w:rPr>
                <w:rFonts w:hint="eastAsia" w:eastAsia="宋体" w:cs="Times New Roman"/>
                <w:color w:val="auto"/>
              </w:rPr>
              <w:t>袋装水泥、腻子粉、石膏粉等袋装粉质原材料，在现场设置密闭库房，下车、入库时轻拿轻放，避免扬尘。</w:t>
            </w:r>
          </w:p>
        </w:tc>
      </w:tr>
      <w:tr w14:paraId="47427F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037FA62F">
            <w:pPr>
              <w:pStyle w:val="61"/>
              <w:spacing w:line="240" w:lineRule="auto"/>
              <w:rPr>
                <w:rFonts w:eastAsia="宋体" w:cs="Times New Roman"/>
                <w:color w:val="auto"/>
              </w:rPr>
            </w:pPr>
            <w:r>
              <w:rPr>
                <w:rFonts w:eastAsia="宋体" w:cs="Times New Roman"/>
                <w:color w:val="auto"/>
              </w:rPr>
              <w:t>10</w:t>
            </w:r>
          </w:p>
        </w:tc>
        <w:tc>
          <w:tcPr>
            <w:tcW w:w="4580" w:type="pct"/>
            <w:noWrap w:val="0"/>
            <w:vAlign w:val="center"/>
          </w:tcPr>
          <w:p w14:paraId="1E284B89">
            <w:pPr>
              <w:pStyle w:val="61"/>
              <w:spacing w:line="240" w:lineRule="auto"/>
              <w:rPr>
                <w:rFonts w:eastAsia="宋体" w:cs="Times New Roman"/>
                <w:color w:val="auto"/>
              </w:rPr>
            </w:pPr>
            <w:r>
              <w:rPr>
                <w:rFonts w:hint="eastAsia" w:eastAsia="宋体" w:cs="Times New Roman"/>
                <w:color w:val="auto"/>
              </w:rPr>
              <w:t>零星使用的砂、碎石等原材堆场，采用废旧密目安全网或混凝土养护棉等覆盖，避免起风扬尘。</w:t>
            </w:r>
          </w:p>
        </w:tc>
      </w:tr>
      <w:tr w14:paraId="1E474A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468FD4FF">
            <w:pPr>
              <w:pStyle w:val="61"/>
              <w:spacing w:line="240" w:lineRule="auto"/>
              <w:rPr>
                <w:rFonts w:eastAsia="宋体" w:cs="Times New Roman"/>
                <w:color w:val="auto"/>
              </w:rPr>
            </w:pPr>
            <w:r>
              <w:rPr>
                <w:rFonts w:eastAsia="宋体" w:cs="Times New Roman"/>
                <w:color w:val="auto"/>
              </w:rPr>
              <w:t>11</w:t>
            </w:r>
          </w:p>
        </w:tc>
        <w:tc>
          <w:tcPr>
            <w:tcW w:w="4580" w:type="pct"/>
            <w:noWrap w:val="0"/>
            <w:vAlign w:val="center"/>
          </w:tcPr>
          <w:p w14:paraId="47BABD57">
            <w:pPr>
              <w:pStyle w:val="61"/>
              <w:spacing w:line="240" w:lineRule="auto"/>
              <w:rPr>
                <w:rFonts w:eastAsia="宋体" w:cs="Times New Roman"/>
                <w:color w:val="auto"/>
              </w:rPr>
            </w:pPr>
            <w:r>
              <w:rPr>
                <w:rFonts w:hint="eastAsia" w:eastAsia="宋体" w:cs="Times New Roman"/>
                <w:color w:val="auto"/>
              </w:rPr>
              <w:t>现场筛砂场地采用密目安全网半封闭，尽可能避免起风扬尘。</w:t>
            </w:r>
          </w:p>
        </w:tc>
      </w:tr>
      <w:tr w14:paraId="5B9E63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30C2DA45">
            <w:pPr>
              <w:pStyle w:val="61"/>
              <w:spacing w:line="240" w:lineRule="auto"/>
              <w:rPr>
                <w:rFonts w:eastAsia="宋体" w:cs="Times New Roman"/>
                <w:color w:val="auto"/>
              </w:rPr>
            </w:pPr>
            <w:r>
              <w:rPr>
                <w:rFonts w:eastAsia="宋体" w:cs="Times New Roman"/>
                <w:color w:val="auto"/>
              </w:rPr>
              <w:t>12</w:t>
            </w:r>
          </w:p>
        </w:tc>
        <w:tc>
          <w:tcPr>
            <w:tcW w:w="4580" w:type="pct"/>
            <w:noWrap w:val="0"/>
            <w:vAlign w:val="center"/>
          </w:tcPr>
          <w:p w14:paraId="616B8FDE">
            <w:pPr>
              <w:pStyle w:val="61"/>
              <w:spacing w:line="240" w:lineRule="auto"/>
              <w:rPr>
                <w:rFonts w:eastAsia="宋体" w:cs="Times New Roman"/>
                <w:color w:val="auto"/>
              </w:rPr>
            </w:pPr>
            <w:r>
              <w:rPr>
                <w:rFonts w:hint="eastAsia" w:eastAsia="宋体" w:cs="Times New Roman"/>
                <w:color w:val="auto"/>
              </w:rPr>
              <w:t>石材、釉面砖、广场砖等现场切割加工采用湿作业。</w:t>
            </w:r>
          </w:p>
        </w:tc>
      </w:tr>
      <w:tr w14:paraId="4D0CD8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27A3C8A3">
            <w:pPr>
              <w:pStyle w:val="61"/>
              <w:spacing w:line="240" w:lineRule="auto"/>
              <w:rPr>
                <w:rFonts w:eastAsia="宋体" w:cs="Times New Roman"/>
                <w:color w:val="auto"/>
              </w:rPr>
            </w:pPr>
            <w:r>
              <w:rPr>
                <w:rFonts w:eastAsia="宋体" w:cs="Times New Roman"/>
                <w:color w:val="auto"/>
              </w:rPr>
              <w:t>13</w:t>
            </w:r>
          </w:p>
        </w:tc>
        <w:tc>
          <w:tcPr>
            <w:tcW w:w="4580" w:type="pct"/>
            <w:noWrap w:val="0"/>
            <w:vAlign w:val="center"/>
          </w:tcPr>
          <w:p w14:paraId="25160C42">
            <w:pPr>
              <w:pStyle w:val="61"/>
              <w:spacing w:line="240" w:lineRule="auto"/>
              <w:rPr>
                <w:rFonts w:eastAsia="宋体" w:cs="Times New Roman"/>
                <w:color w:val="auto"/>
              </w:rPr>
            </w:pPr>
            <w:r>
              <w:rPr>
                <w:rFonts w:hint="eastAsia" w:eastAsia="宋体" w:cs="Times New Roman"/>
                <w:color w:val="auto"/>
              </w:rPr>
              <w:t>在现场设置若干垃圾池，为施工废弃物提供存放场所。在废弃物的处理上，根据废弃物的可回收和不可回收种类进行分检，定期派专人对废弃物进行清理和处置，既保持现场的文明施工形象，又不致对周围环境造成污染。</w:t>
            </w:r>
          </w:p>
        </w:tc>
      </w:tr>
      <w:tr w14:paraId="23B970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7BC82509">
            <w:pPr>
              <w:pStyle w:val="61"/>
              <w:spacing w:line="240" w:lineRule="auto"/>
              <w:rPr>
                <w:rFonts w:eastAsia="宋体" w:cs="Times New Roman"/>
                <w:color w:val="auto"/>
              </w:rPr>
            </w:pPr>
            <w:r>
              <w:rPr>
                <w:rFonts w:eastAsia="宋体" w:cs="Times New Roman"/>
                <w:color w:val="auto"/>
              </w:rPr>
              <w:t>14</w:t>
            </w:r>
          </w:p>
        </w:tc>
        <w:tc>
          <w:tcPr>
            <w:tcW w:w="4580" w:type="pct"/>
            <w:noWrap w:val="0"/>
            <w:vAlign w:val="center"/>
          </w:tcPr>
          <w:p w14:paraId="7C5931D3">
            <w:pPr>
              <w:pStyle w:val="61"/>
              <w:spacing w:line="240" w:lineRule="auto"/>
              <w:rPr>
                <w:rFonts w:eastAsia="宋体" w:cs="Times New Roman"/>
                <w:color w:val="auto"/>
              </w:rPr>
            </w:pPr>
            <w:r>
              <w:rPr>
                <w:rFonts w:hint="eastAsia" w:eastAsia="宋体" w:cs="Times New Roman"/>
                <w:color w:val="auto"/>
              </w:rPr>
              <w:t>在场区内设置污水沉淀池和净化设施，供废水处理使用。</w:t>
            </w:r>
          </w:p>
        </w:tc>
      </w:tr>
      <w:tr w14:paraId="1514FB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1E12C2C9">
            <w:pPr>
              <w:pStyle w:val="61"/>
              <w:spacing w:line="240" w:lineRule="auto"/>
              <w:rPr>
                <w:rFonts w:eastAsia="宋体" w:cs="Times New Roman"/>
                <w:color w:val="auto"/>
              </w:rPr>
            </w:pPr>
            <w:r>
              <w:rPr>
                <w:rFonts w:eastAsia="宋体" w:cs="Times New Roman"/>
                <w:color w:val="auto"/>
              </w:rPr>
              <w:t>15</w:t>
            </w:r>
          </w:p>
        </w:tc>
        <w:tc>
          <w:tcPr>
            <w:tcW w:w="4580" w:type="pct"/>
            <w:noWrap w:val="0"/>
            <w:vAlign w:val="center"/>
          </w:tcPr>
          <w:p w14:paraId="14BB0276">
            <w:pPr>
              <w:pStyle w:val="61"/>
              <w:spacing w:line="240" w:lineRule="auto"/>
              <w:rPr>
                <w:rFonts w:eastAsia="宋体" w:cs="Times New Roman"/>
                <w:color w:val="auto"/>
              </w:rPr>
            </w:pPr>
            <w:r>
              <w:rPr>
                <w:rFonts w:hint="eastAsia" w:eastAsia="宋体" w:cs="Times New Roman"/>
                <w:color w:val="auto"/>
              </w:rPr>
              <w:t>工地门口设置进出汽车清洗槽，避免进出车辆将工地泥土带入街区道路。</w:t>
            </w:r>
          </w:p>
        </w:tc>
      </w:tr>
      <w:tr w14:paraId="5F3EA6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2B7BD443">
            <w:pPr>
              <w:pStyle w:val="61"/>
              <w:spacing w:line="240" w:lineRule="auto"/>
              <w:rPr>
                <w:rFonts w:eastAsia="宋体" w:cs="Times New Roman"/>
                <w:color w:val="auto"/>
              </w:rPr>
            </w:pPr>
            <w:r>
              <w:rPr>
                <w:rFonts w:eastAsia="宋体" w:cs="Times New Roman"/>
                <w:color w:val="auto"/>
              </w:rPr>
              <w:t>16</w:t>
            </w:r>
          </w:p>
        </w:tc>
        <w:tc>
          <w:tcPr>
            <w:tcW w:w="4580" w:type="pct"/>
            <w:noWrap w:val="0"/>
            <w:vAlign w:val="center"/>
          </w:tcPr>
          <w:p w14:paraId="2990076C">
            <w:pPr>
              <w:pStyle w:val="61"/>
              <w:spacing w:line="240" w:lineRule="auto"/>
              <w:rPr>
                <w:rFonts w:eastAsia="宋体" w:cs="Times New Roman"/>
                <w:color w:val="auto"/>
              </w:rPr>
            </w:pPr>
            <w:r>
              <w:rPr>
                <w:rFonts w:hint="eastAsia" w:eastAsia="宋体" w:cs="Times New Roman"/>
                <w:color w:val="auto"/>
              </w:rPr>
              <w:t>设置现场垃圾集中堆放处，分类处理并进行覆盖，一日一清。</w:t>
            </w:r>
          </w:p>
        </w:tc>
      </w:tr>
      <w:tr w14:paraId="343AD3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3B5016C1">
            <w:pPr>
              <w:pStyle w:val="61"/>
              <w:spacing w:line="240" w:lineRule="auto"/>
              <w:rPr>
                <w:rFonts w:eastAsia="宋体" w:cs="Times New Roman"/>
                <w:color w:val="auto"/>
              </w:rPr>
            </w:pPr>
            <w:r>
              <w:rPr>
                <w:rFonts w:eastAsia="宋体" w:cs="Times New Roman"/>
                <w:color w:val="auto"/>
              </w:rPr>
              <w:t>17</w:t>
            </w:r>
          </w:p>
        </w:tc>
        <w:tc>
          <w:tcPr>
            <w:tcW w:w="4580" w:type="pct"/>
            <w:noWrap w:val="0"/>
            <w:vAlign w:val="center"/>
          </w:tcPr>
          <w:p w14:paraId="0010DCEC">
            <w:pPr>
              <w:pStyle w:val="61"/>
              <w:spacing w:line="240" w:lineRule="auto"/>
              <w:rPr>
                <w:rFonts w:eastAsia="宋体" w:cs="Times New Roman"/>
                <w:color w:val="auto"/>
              </w:rPr>
            </w:pPr>
            <w:r>
              <w:rPr>
                <w:rFonts w:hint="eastAsia" w:eastAsia="宋体" w:cs="Times New Roman"/>
                <w:color w:val="auto"/>
              </w:rPr>
              <w:t>制定施工现场洒水降尘制度，配备专用洒水设备及指定专人负责，在易产生扬尘的季节，施工场地采取洒水降尘。</w:t>
            </w:r>
          </w:p>
        </w:tc>
      </w:tr>
      <w:tr w14:paraId="6F2544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1A3FA484">
            <w:pPr>
              <w:pStyle w:val="61"/>
              <w:spacing w:line="240" w:lineRule="auto"/>
              <w:rPr>
                <w:rFonts w:eastAsia="宋体" w:cs="Times New Roman"/>
                <w:color w:val="auto"/>
              </w:rPr>
            </w:pPr>
            <w:r>
              <w:rPr>
                <w:rFonts w:eastAsia="宋体" w:cs="Times New Roman"/>
                <w:color w:val="auto"/>
              </w:rPr>
              <w:t>18</w:t>
            </w:r>
          </w:p>
        </w:tc>
        <w:tc>
          <w:tcPr>
            <w:tcW w:w="4580" w:type="pct"/>
            <w:noWrap w:val="0"/>
            <w:vAlign w:val="center"/>
          </w:tcPr>
          <w:p w14:paraId="5751A7CE">
            <w:pPr>
              <w:pStyle w:val="61"/>
              <w:spacing w:line="240" w:lineRule="auto"/>
              <w:rPr>
                <w:rFonts w:eastAsia="宋体" w:cs="Times New Roman"/>
                <w:color w:val="auto"/>
              </w:rPr>
            </w:pPr>
            <w:r>
              <w:rPr>
                <w:rFonts w:hint="eastAsia" w:eastAsia="宋体" w:cs="Times New Roman"/>
                <w:color w:val="auto"/>
              </w:rPr>
              <w:t>使用商品混凝土和商品砂浆，以减少施工现场粉尘污染源。</w:t>
            </w:r>
          </w:p>
        </w:tc>
      </w:tr>
      <w:tr w14:paraId="1CB3DF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4C534BDE">
            <w:pPr>
              <w:pStyle w:val="61"/>
              <w:spacing w:line="240" w:lineRule="auto"/>
              <w:rPr>
                <w:rFonts w:eastAsia="宋体" w:cs="Times New Roman"/>
                <w:color w:val="auto"/>
              </w:rPr>
            </w:pPr>
            <w:r>
              <w:rPr>
                <w:rFonts w:eastAsia="宋体" w:cs="Times New Roman"/>
                <w:color w:val="auto"/>
              </w:rPr>
              <w:t>19</w:t>
            </w:r>
          </w:p>
        </w:tc>
        <w:tc>
          <w:tcPr>
            <w:tcW w:w="4580" w:type="pct"/>
            <w:noWrap w:val="0"/>
            <w:vAlign w:val="center"/>
          </w:tcPr>
          <w:p w14:paraId="6CFB55CB">
            <w:pPr>
              <w:pStyle w:val="61"/>
              <w:spacing w:line="240" w:lineRule="auto"/>
              <w:rPr>
                <w:rFonts w:eastAsia="宋体" w:cs="Times New Roman"/>
                <w:color w:val="auto"/>
              </w:rPr>
            </w:pPr>
            <w:r>
              <w:rPr>
                <w:rFonts w:hint="eastAsia" w:eastAsia="宋体" w:cs="Times New Roman"/>
                <w:color w:val="auto"/>
              </w:rPr>
              <w:t>现场尽量组织石材、木制半成品进入现场，实施装配或施工，减少切割石材、木制品加工所造成的粉尘及噪声污染。</w:t>
            </w:r>
          </w:p>
        </w:tc>
      </w:tr>
      <w:tr w14:paraId="67C9BB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9" w:type="pct"/>
            <w:noWrap w:val="0"/>
            <w:vAlign w:val="center"/>
          </w:tcPr>
          <w:p w14:paraId="0B386299">
            <w:pPr>
              <w:pStyle w:val="61"/>
              <w:spacing w:line="240" w:lineRule="auto"/>
              <w:rPr>
                <w:rFonts w:eastAsia="宋体" w:cs="Times New Roman"/>
                <w:color w:val="auto"/>
              </w:rPr>
            </w:pPr>
            <w:r>
              <w:rPr>
                <w:rFonts w:eastAsia="宋体" w:cs="Times New Roman"/>
                <w:color w:val="auto"/>
              </w:rPr>
              <w:t>20</w:t>
            </w:r>
          </w:p>
        </w:tc>
        <w:tc>
          <w:tcPr>
            <w:tcW w:w="4580" w:type="pct"/>
            <w:noWrap w:val="0"/>
            <w:vAlign w:val="center"/>
          </w:tcPr>
          <w:p w14:paraId="2ED004BA">
            <w:pPr>
              <w:pStyle w:val="61"/>
              <w:spacing w:line="240" w:lineRule="auto"/>
              <w:rPr>
                <w:rFonts w:eastAsia="宋体" w:cs="Times New Roman"/>
                <w:color w:val="auto"/>
              </w:rPr>
            </w:pPr>
            <w:r>
              <w:rPr>
                <w:rFonts w:hint="eastAsia" w:eastAsia="宋体" w:cs="Times New Roman"/>
                <w:color w:val="auto"/>
              </w:rPr>
              <w:t>出入口设置车辆清洗设施以及配套的排水设施；所有车辆应当在除泥、冲洗干净后，方可驶出施工工地。</w:t>
            </w:r>
          </w:p>
        </w:tc>
      </w:tr>
    </w:tbl>
    <w:p w14:paraId="1E5D8474">
      <w:pPr>
        <w:ind w:firstLine="480"/>
        <w:rPr>
          <w:rFonts w:hint="eastAsia" w:ascii="宋体" w:hAnsi="宋体" w:eastAsia="宋体" w:cs="Times New Roman"/>
          <w:color w:val="auto"/>
        </w:rPr>
      </w:pPr>
      <w:r>
        <w:rPr>
          <w:rFonts w:hint="eastAsia" w:ascii="宋体" w:hAnsi="宋体" w:eastAsia="宋体" w:cs="Times New Roman"/>
          <w:color w:val="auto"/>
        </w:rPr>
        <w:t>（2）噪音与振动控制</w:t>
      </w:r>
    </w:p>
    <w:p w14:paraId="03827CD9">
      <w:pPr>
        <w:ind w:firstLine="480"/>
        <w:rPr>
          <w:rFonts w:eastAsia="宋体" w:cs="Times New Roman"/>
          <w:color w:val="auto"/>
        </w:rPr>
      </w:pPr>
      <w:r>
        <w:rPr>
          <w:rFonts w:hint="eastAsia" w:eastAsia="宋体" w:cs="Times New Roman"/>
          <w:color w:val="auto"/>
        </w:rPr>
        <w:t>项目部将采取以下防治措施对施工现场的噪声进行控制：</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91"/>
        <w:gridCol w:w="8495"/>
      </w:tblGrid>
      <w:tr w14:paraId="342D94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6427DDB8">
            <w:pPr>
              <w:pStyle w:val="61"/>
              <w:spacing w:line="240" w:lineRule="auto"/>
              <w:rPr>
                <w:rFonts w:eastAsia="宋体" w:cs="Times New Roman"/>
                <w:color w:val="auto"/>
              </w:rPr>
            </w:pPr>
            <w:r>
              <w:rPr>
                <w:rFonts w:hint="eastAsia" w:eastAsia="宋体" w:cs="Times New Roman"/>
                <w:color w:val="auto"/>
              </w:rPr>
              <w:t>序号</w:t>
            </w:r>
          </w:p>
        </w:tc>
        <w:tc>
          <w:tcPr>
            <w:tcW w:w="4573" w:type="pct"/>
            <w:noWrap w:val="0"/>
            <w:vAlign w:val="top"/>
          </w:tcPr>
          <w:p w14:paraId="5A98A900">
            <w:pPr>
              <w:pStyle w:val="61"/>
              <w:spacing w:line="240" w:lineRule="auto"/>
              <w:rPr>
                <w:rFonts w:eastAsia="宋体" w:cs="Times New Roman"/>
                <w:color w:val="auto"/>
              </w:rPr>
            </w:pPr>
            <w:r>
              <w:rPr>
                <w:rFonts w:hint="eastAsia" w:eastAsia="宋体" w:cs="Times New Roman"/>
                <w:color w:val="auto"/>
              </w:rPr>
              <w:t>内容</w:t>
            </w:r>
          </w:p>
        </w:tc>
      </w:tr>
      <w:tr w14:paraId="630FC7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5DF51741">
            <w:pPr>
              <w:pStyle w:val="61"/>
              <w:spacing w:line="240" w:lineRule="auto"/>
              <w:rPr>
                <w:rFonts w:eastAsia="宋体" w:cs="Times New Roman"/>
                <w:color w:val="auto"/>
              </w:rPr>
            </w:pPr>
            <w:r>
              <w:rPr>
                <w:rFonts w:eastAsia="宋体" w:cs="Times New Roman"/>
                <w:color w:val="auto"/>
              </w:rPr>
              <w:t>1</w:t>
            </w:r>
          </w:p>
        </w:tc>
        <w:tc>
          <w:tcPr>
            <w:tcW w:w="4573" w:type="pct"/>
            <w:noWrap w:val="0"/>
            <w:vAlign w:val="center"/>
          </w:tcPr>
          <w:p w14:paraId="55CE348E">
            <w:pPr>
              <w:pStyle w:val="61"/>
              <w:spacing w:line="240" w:lineRule="auto"/>
              <w:rPr>
                <w:rFonts w:eastAsia="宋体" w:cs="Times New Roman"/>
                <w:color w:val="auto"/>
              </w:rPr>
            </w:pPr>
            <w:r>
              <w:rPr>
                <w:rFonts w:hint="eastAsia" w:eastAsia="宋体" w:cs="Times New Roman"/>
                <w:color w:val="auto"/>
              </w:rPr>
              <w:t>合理安排作息时间，将浇筑混凝土等噪音较大的工作尽量安排在白天施工。</w:t>
            </w:r>
          </w:p>
        </w:tc>
      </w:tr>
      <w:tr w14:paraId="778E00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35ACAB86">
            <w:pPr>
              <w:pStyle w:val="61"/>
              <w:spacing w:line="240" w:lineRule="auto"/>
              <w:rPr>
                <w:rFonts w:eastAsia="宋体" w:cs="Times New Roman"/>
                <w:color w:val="auto"/>
              </w:rPr>
            </w:pPr>
            <w:r>
              <w:rPr>
                <w:rFonts w:eastAsia="宋体" w:cs="Times New Roman"/>
                <w:color w:val="auto"/>
              </w:rPr>
              <w:t>2</w:t>
            </w:r>
          </w:p>
        </w:tc>
        <w:tc>
          <w:tcPr>
            <w:tcW w:w="4573" w:type="pct"/>
            <w:noWrap w:val="0"/>
            <w:vAlign w:val="center"/>
          </w:tcPr>
          <w:p w14:paraId="1CC53397">
            <w:pPr>
              <w:pStyle w:val="61"/>
              <w:spacing w:line="240" w:lineRule="auto"/>
              <w:rPr>
                <w:rFonts w:eastAsia="宋体" w:cs="Times New Roman"/>
                <w:color w:val="auto"/>
              </w:rPr>
            </w:pPr>
            <w:r>
              <w:rPr>
                <w:rFonts w:hint="eastAsia" w:eastAsia="宋体" w:cs="Times New Roman"/>
                <w:color w:val="auto"/>
              </w:rPr>
              <w:t>在底板连续夜间施工期间，采用低噪声的环保型混凝土振动器取代普通振动器，避免因混凝土浇筑给施工周边带来影响。</w:t>
            </w:r>
          </w:p>
        </w:tc>
      </w:tr>
      <w:tr w14:paraId="25797E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52964D17">
            <w:pPr>
              <w:pStyle w:val="61"/>
              <w:spacing w:line="240" w:lineRule="auto"/>
              <w:rPr>
                <w:rFonts w:eastAsia="宋体" w:cs="Times New Roman"/>
                <w:color w:val="auto"/>
              </w:rPr>
            </w:pPr>
            <w:r>
              <w:rPr>
                <w:rFonts w:eastAsia="宋体" w:cs="Times New Roman"/>
                <w:color w:val="auto"/>
              </w:rPr>
              <w:t>3</w:t>
            </w:r>
          </w:p>
        </w:tc>
        <w:tc>
          <w:tcPr>
            <w:tcW w:w="4573" w:type="pct"/>
            <w:noWrap w:val="0"/>
            <w:vAlign w:val="center"/>
          </w:tcPr>
          <w:p w14:paraId="757FA45A">
            <w:pPr>
              <w:pStyle w:val="61"/>
              <w:spacing w:line="240" w:lineRule="auto"/>
              <w:rPr>
                <w:rFonts w:eastAsia="宋体" w:cs="Times New Roman"/>
                <w:color w:val="auto"/>
              </w:rPr>
            </w:pPr>
            <w:r>
              <w:rPr>
                <w:rFonts w:hint="eastAsia" w:eastAsia="宋体" w:cs="Times New Roman"/>
                <w:color w:val="auto"/>
              </w:rPr>
              <w:t>在不可避免的连续夜间施工期间，如底板混凝土连续施工期间，向当地环保部门提出申请施工，并将施工起止时段向周边进行告示，尽可能的避免因施工噪声引发投诉。</w:t>
            </w:r>
          </w:p>
        </w:tc>
      </w:tr>
      <w:tr w14:paraId="698977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3C0D120B">
            <w:pPr>
              <w:pStyle w:val="61"/>
              <w:spacing w:line="240" w:lineRule="auto"/>
              <w:rPr>
                <w:rFonts w:eastAsia="宋体" w:cs="Times New Roman"/>
                <w:color w:val="auto"/>
              </w:rPr>
            </w:pPr>
            <w:r>
              <w:rPr>
                <w:rFonts w:eastAsia="宋体" w:cs="Times New Roman"/>
                <w:color w:val="auto"/>
              </w:rPr>
              <w:t>4</w:t>
            </w:r>
          </w:p>
        </w:tc>
        <w:tc>
          <w:tcPr>
            <w:tcW w:w="4573" w:type="pct"/>
            <w:noWrap w:val="0"/>
            <w:vAlign w:val="center"/>
          </w:tcPr>
          <w:p w14:paraId="77746F39">
            <w:pPr>
              <w:pStyle w:val="61"/>
              <w:spacing w:line="240" w:lineRule="auto"/>
              <w:rPr>
                <w:rFonts w:eastAsia="宋体" w:cs="Times New Roman"/>
                <w:color w:val="auto"/>
              </w:rPr>
            </w:pPr>
            <w:r>
              <w:rPr>
                <w:rFonts w:hint="eastAsia" w:eastAsia="宋体" w:cs="Times New Roman"/>
                <w:color w:val="auto"/>
              </w:rPr>
              <w:t>现场噪音排放不得超过国家标准《建筑施工场界噪声排放标准》（</w:t>
            </w:r>
            <w:r>
              <w:rPr>
                <w:rFonts w:eastAsia="宋体" w:cs="Times New Roman"/>
                <w:color w:val="auto"/>
              </w:rPr>
              <w:t>GB12523-2011</w:t>
            </w:r>
            <w:r>
              <w:rPr>
                <w:rFonts w:hint="eastAsia" w:eastAsia="宋体" w:cs="Times New Roman"/>
                <w:color w:val="auto"/>
              </w:rPr>
              <w:t>）的规定。</w:t>
            </w:r>
          </w:p>
        </w:tc>
      </w:tr>
      <w:tr w14:paraId="3096A0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683BC909">
            <w:pPr>
              <w:pStyle w:val="61"/>
              <w:spacing w:line="240" w:lineRule="auto"/>
              <w:rPr>
                <w:rFonts w:eastAsia="宋体" w:cs="Times New Roman"/>
                <w:color w:val="auto"/>
              </w:rPr>
            </w:pPr>
            <w:r>
              <w:rPr>
                <w:rFonts w:eastAsia="宋体" w:cs="Times New Roman"/>
                <w:color w:val="auto"/>
              </w:rPr>
              <w:t>5</w:t>
            </w:r>
          </w:p>
        </w:tc>
        <w:tc>
          <w:tcPr>
            <w:tcW w:w="4573" w:type="pct"/>
            <w:noWrap w:val="0"/>
            <w:vAlign w:val="center"/>
          </w:tcPr>
          <w:p w14:paraId="33DD08CB">
            <w:pPr>
              <w:pStyle w:val="61"/>
              <w:spacing w:line="240" w:lineRule="auto"/>
              <w:rPr>
                <w:rFonts w:eastAsia="宋体" w:cs="Times New Roman"/>
                <w:color w:val="auto"/>
              </w:rPr>
            </w:pPr>
            <w:r>
              <w:rPr>
                <w:rFonts w:hint="eastAsia" w:eastAsia="宋体" w:cs="Times New Roman"/>
                <w:color w:val="auto"/>
              </w:rPr>
              <w:t>在施工场界对噪音进行实时监测与控制。监测方法执行国家标准《建筑施工场界噪声测量方法》。</w:t>
            </w:r>
          </w:p>
        </w:tc>
      </w:tr>
      <w:tr w14:paraId="7D4F28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6B47B4FD">
            <w:pPr>
              <w:pStyle w:val="61"/>
              <w:spacing w:line="240" w:lineRule="auto"/>
              <w:rPr>
                <w:rFonts w:eastAsia="宋体" w:cs="Times New Roman"/>
                <w:color w:val="auto"/>
              </w:rPr>
            </w:pPr>
            <w:r>
              <w:rPr>
                <w:rFonts w:eastAsia="宋体" w:cs="Times New Roman"/>
                <w:color w:val="auto"/>
              </w:rPr>
              <w:t>6</w:t>
            </w:r>
          </w:p>
        </w:tc>
        <w:tc>
          <w:tcPr>
            <w:tcW w:w="4573" w:type="pct"/>
            <w:noWrap w:val="0"/>
            <w:vAlign w:val="center"/>
          </w:tcPr>
          <w:p w14:paraId="7B055435">
            <w:pPr>
              <w:pStyle w:val="61"/>
              <w:spacing w:line="240" w:lineRule="auto"/>
              <w:rPr>
                <w:rFonts w:eastAsia="宋体" w:cs="Times New Roman"/>
                <w:color w:val="auto"/>
              </w:rPr>
            </w:pPr>
            <w:r>
              <w:rPr>
                <w:rFonts w:hint="eastAsia" w:eastAsia="宋体" w:cs="Times New Roman"/>
                <w:color w:val="auto"/>
              </w:rPr>
              <w:t>合理选用推土机、挖土机、自卸汽车等内燃机机械，既不超负荷运转又不空转加油，保证机械平稳高效运行。</w:t>
            </w:r>
          </w:p>
        </w:tc>
      </w:tr>
      <w:tr w14:paraId="52A29B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07332A94">
            <w:pPr>
              <w:pStyle w:val="61"/>
              <w:spacing w:line="240" w:lineRule="auto"/>
              <w:rPr>
                <w:rFonts w:eastAsia="宋体" w:cs="Times New Roman"/>
                <w:color w:val="auto"/>
              </w:rPr>
            </w:pPr>
            <w:r>
              <w:rPr>
                <w:rFonts w:eastAsia="宋体" w:cs="Times New Roman"/>
                <w:color w:val="auto"/>
              </w:rPr>
              <w:t>7</w:t>
            </w:r>
          </w:p>
        </w:tc>
        <w:tc>
          <w:tcPr>
            <w:tcW w:w="4573" w:type="pct"/>
            <w:noWrap w:val="0"/>
            <w:vAlign w:val="center"/>
          </w:tcPr>
          <w:p w14:paraId="11C68FCA">
            <w:pPr>
              <w:pStyle w:val="61"/>
              <w:spacing w:line="240" w:lineRule="auto"/>
              <w:rPr>
                <w:rFonts w:eastAsia="宋体" w:cs="Times New Roman"/>
                <w:color w:val="auto"/>
              </w:rPr>
            </w:pPr>
            <w:r>
              <w:rPr>
                <w:rFonts w:hint="eastAsia" w:eastAsia="宋体" w:cs="Times New Roman"/>
                <w:color w:val="auto"/>
              </w:rPr>
              <w:t>现场木工房、安装管道、支架加工房、风管预制车间等全部采用拼装式彩板房封闭，隔墙为岩棉填充料，能够有效降低噪声。</w:t>
            </w:r>
          </w:p>
        </w:tc>
      </w:tr>
      <w:tr w14:paraId="40339A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26818E68">
            <w:pPr>
              <w:pStyle w:val="61"/>
              <w:spacing w:line="240" w:lineRule="auto"/>
              <w:rPr>
                <w:rFonts w:eastAsia="宋体" w:cs="Times New Roman"/>
                <w:color w:val="auto"/>
              </w:rPr>
            </w:pPr>
            <w:r>
              <w:rPr>
                <w:rFonts w:eastAsia="宋体" w:cs="Times New Roman"/>
                <w:color w:val="auto"/>
              </w:rPr>
              <w:t>8</w:t>
            </w:r>
          </w:p>
        </w:tc>
        <w:tc>
          <w:tcPr>
            <w:tcW w:w="4573" w:type="pct"/>
            <w:noWrap w:val="0"/>
            <w:vAlign w:val="center"/>
          </w:tcPr>
          <w:p w14:paraId="7638C0E3">
            <w:pPr>
              <w:pStyle w:val="61"/>
              <w:spacing w:line="240" w:lineRule="auto"/>
              <w:rPr>
                <w:rFonts w:eastAsia="宋体" w:cs="Times New Roman"/>
                <w:color w:val="auto"/>
              </w:rPr>
            </w:pPr>
            <w:r>
              <w:rPr>
                <w:rFonts w:hint="eastAsia" w:eastAsia="宋体" w:cs="Times New Roman"/>
                <w:color w:val="auto"/>
              </w:rPr>
              <w:t>混凝土浇筑时，禁止震动棒空振、卡钢筋振动或贴模板外侧振动。</w:t>
            </w:r>
          </w:p>
        </w:tc>
      </w:tr>
      <w:tr w14:paraId="6C7C42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41584E1A">
            <w:pPr>
              <w:pStyle w:val="61"/>
              <w:spacing w:line="240" w:lineRule="auto"/>
              <w:rPr>
                <w:rFonts w:eastAsia="宋体" w:cs="Times New Roman"/>
                <w:color w:val="auto"/>
              </w:rPr>
            </w:pPr>
            <w:r>
              <w:rPr>
                <w:rFonts w:eastAsia="宋体" w:cs="Times New Roman"/>
                <w:color w:val="auto"/>
              </w:rPr>
              <w:t>9</w:t>
            </w:r>
          </w:p>
        </w:tc>
        <w:tc>
          <w:tcPr>
            <w:tcW w:w="4573" w:type="pct"/>
            <w:noWrap w:val="0"/>
            <w:vAlign w:val="center"/>
          </w:tcPr>
          <w:p w14:paraId="68FC9FFC">
            <w:pPr>
              <w:pStyle w:val="61"/>
              <w:spacing w:line="240" w:lineRule="auto"/>
              <w:rPr>
                <w:rFonts w:eastAsia="宋体" w:cs="Times New Roman"/>
                <w:color w:val="auto"/>
              </w:rPr>
            </w:pPr>
            <w:r>
              <w:rPr>
                <w:rFonts w:hint="eastAsia" w:eastAsia="宋体" w:cs="Times New Roman"/>
                <w:color w:val="auto"/>
              </w:rPr>
              <w:t>混凝土后浇带、施工缝、结构胀模等剔凿尽量使用人工，减少风镐的使用。</w:t>
            </w:r>
          </w:p>
        </w:tc>
      </w:tr>
      <w:tr w14:paraId="24DBC4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7CB5A177">
            <w:pPr>
              <w:pStyle w:val="61"/>
              <w:spacing w:line="240" w:lineRule="auto"/>
              <w:rPr>
                <w:rFonts w:eastAsia="宋体" w:cs="Times New Roman"/>
                <w:color w:val="auto"/>
              </w:rPr>
            </w:pPr>
            <w:r>
              <w:rPr>
                <w:rFonts w:eastAsia="宋体" w:cs="Times New Roman"/>
                <w:color w:val="auto"/>
              </w:rPr>
              <w:t>10</w:t>
            </w:r>
          </w:p>
        </w:tc>
        <w:tc>
          <w:tcPr>
            <w:tcW w:w="4573" w:type="pct"/>
            <w:noWrap w:val="0"/>
            <w:vAlign w:val="center"/>
          </w:tcPr>
          <w:p w14:paraId="212AA656">
            <w:pPr>
              <w:pStyle w:val="61"/>
              <w:spacing w:line="240" w:lineRule="auto"/>
              <w:rPr>
                <w:rFonts w:eastAsia="宋体" w:cs="Times New Roman"/>
                <w:color w:val="auto"/>
              </w:rPr>
            </w:pPr>
            <w:r>
              <w:rPr>
                <w:rFonts w:hint="eastAsia" w:eastAsia="宋体" w:cs="Times New Roman"/>
                <w:color w:val="auto"/>
              </w:rPr>
              <w:t>场区一切车辆禁止鸣笛，装卸材料轻拿轻放。</w:t>
            </w:r>
          </w:p>
        </w:tc>
      </w:tr>
      <w:tr w14:paraId="17F7E6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1D60075E">
            <w:pPr>
              <w:pStyle w:val="61"/>
              <w:spacing w:line="240" w:lineRule="auto"/>
              <w:rPr>
                <w:rFonts w:eastAsia="宋体" w:cs="Times New Roman"/>
                <w:color w:val="auto"/>
              </w:rPr>
            </w:pPr>
            <w:r>
              <w:rPr>
                <w:rFonts w:eastAsia="宋体" w:cs="Times New Roman"/>
                <w:color w:val="auto"/>
              </w:rPr>
              <w:t>11</w:t>
            </w:r>
          </w:p>
        </w:tc>
        <w:tc>
          <w:tcPr>
            <w:tcW w:w="4573" w:type="pct"/>
            <w:noWrap w:val="0"/>
            <w:vAlign w:val="center"/>
          </w:tcPr>
          <w:p w14:paraId="1029148F">
            <w:pPr>
              <w:pStyle w:val="61"/>
              <w:spacing w:line="240" w:lineRule="auto"/>
              <w:rPr>
                <w:rFonts w:eastAsia="宋体" w:cs="Times New Roman"/>
                <w:color w:val="auto"/>
              </w:rPr>
            </w:pPr>
            <w:r>
              <w:rPr>
                <w:rFonts w:hint="eastAsia" w:eastAsia="宋体" w:cs="Times New Roman"/>
                <w:color w:val="auto"/>
              </w:rPr>
              <w:t>教育人员树立防噪扰民意识，禁止构件运输车辆、混凝土罐车高速运行，并禁止鸣笛，材料运输车辆停车卸料时应熄火。</w:t>
            </w:r>
          </w:p>
        </w:tc>
      </w:tr>
      <w:tr w14:paraId="0CB8E1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1B6F1559">
            <w:pPr>
              <w:pStyle w:val="61"/>
              <w:spacing w:line="240" w:lineRule="auto"/>
              <w:rPr>
                <w:rFonts w:eastAsia="宋体" w:cs="Times New Roman"/>
                <w:color w:val="auto"/>
              </w:rPr>
            </w:pPr>
            <w:r>
              <w:rPr>
                <w:rFonts w:eastAsia="宋体" w:cs="Times New Roman"/>
                <w:color w:val="auto"/>
              </w:rPr>
              <w:t>12</w:t>
            </w:r>
          </w:p>
        </w:tc>
        <w:tc>
          <w:tcPr>
            <w:tcW w:w="4573" w:type="pct"/>
            <w:noWrap w:val="0"/>
            <w:vAlign w:val="center"/>
          </w:tcPr>
          <w:p w14:paraId="22096AEB">
            <w:pPr>
              <w:pStyle w:val="61"/>
              <w:spacing w:line="240" w:lineRule="auto"/>
              <w:rPr>
                <w:rFonts w:eastAsia="宋体" w:cs="Times New Roman"/>
                <w:color w:val="auto"/>
              </w:rPr>
            </w:pPr>
            <w:r>
              <w:rPr>
                <w:rFonts w:hint="eastAsia" w:eastAsia="宋体" w:cs="Times New Roman"/>
                <w:color w:val="auto"/>
              </w:rPr>
              <w:t>钢构件运输、装卸、加工防止不必要的噪声产生，严禁敲打钢构件、钢管等。</w:t>
            </w:r>
          </w:p>
        </w:tc>
      </w:tr>
      <w:tr w14:paraId="5FD5A9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2E4F48A4">
            <w:pPr>
              <w:pStyle w:val="61"/>
              <w:spacing w:line="240" w:lineRule="auto"/>
              <w:rPr>
                <w:rFonts w:eastAsia="宋体" w:cs="Times New Roman"/>
                <w:color w:val="auto"/>
              </w:rPr>
            </w:pPr>
            <w:r>
              <w:rPr>
                <w:rFonts w:eastAsia="宋体" w:cs="Times New Roman"/>
                <w:color w:val="auto"/>
              </w:rPr>
              <w:t>13</w:t>
            </w:r>
          </w:p>
        </w:tc>
        <w:tc>
          <w:tcPr>
            <w:tcW w:w="4573" w:type="pct"/>
            <w:noWrap w:val="0"/>
            <w:vAlign w:val="center"/>
          </w:tcPr>
          <w:p w14:paraId="396DDFA9">
            <w:pPr>
              <w:pStyle w:val="61"/>
              <w:spacing w:line="240" w:lineRule="auto"/>
              <w:rPr>
                <w:rFonts w:eastAsia="宋体" w:cs="Times New Roman"/>
                <w:color w:val="auto"/>
              </w:rPr>
            </w:pPr>
            <w:r>
              <w:rPr>
                <w:rFonts w:hint="eastAsia" w:eastAsia="宋体" w:cs="Times New Roman"/>
                <w:color w:val="auto"/>
              </w:rPr>
              <w:t>选用低噪声或有消声降噪措施的施工机械。对空压机、冲击电钻、电焊机的使用采取降噪措施。电锯切割金属材料时，应在电锯上刷油，且电锯送速不能过快。</w:t>
            </w:r>
          </w:p>
        </w:tc>
      </w:tr>
      <w:tr w14:paraId="730535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04DCC4BD">
            <w:pPr>
              <w:pStyle w:val="61"/>
              <w:spacing w:line="240" w:lineRule="auto"/>
              <w:rPr>
                <w:rFonts w:eastAsia="宋体" w:cs="Times New Roman"/>
                <w:color w:val="auto"/>
              </w:rPr>
            </w:pPr>
            <w:r>
              <w:rPr>
                <w:rFonts w:eastAsia="宋体" w:cs="Times New Roman"/>
                <w:color w:val="auto"/>
              </w:rPr>
              <w:t>14</w:t>
            </w:r>
          </w:p>
        </w:tc>
        <w:tc>
          <w:tcPr>
            <w:tcW w:w="4573" w:type="pct"/>
            <w:noWrap w:val="0"/>
            <w:vAlign w:val="center"/>
          </w:tcPr>
          <w:p w14:paraId="181C1302">
            <w:pPr>
              <w:pStyle w:val="61"/>
              <w:spacing w:line="240" w:lineRule="auto"/>
              <w:rPr>
                <w:rFonts w:eastAsia="宋体" w:cs="Times New Roman"/>
                <w:color w:val="auto"/>
              </w:rPr>
            </w:pPr>
            <w:r>
              <w:rPr>
                <w:rFonts w:hint="eastAsia" w:eastAsia="宋体" w:cs="Times New Roman"/>
                <w:color w:val="auto"/>
              </w:rPr>
              <w:t>强噪声机械设置封闭式隔音棚，如固定式混凝土输送泵泵房、木工棚和大型空气压缩机等。</w:t>
            </w:r>
          </w:p>
        </w:tc>
      </w:tr>
      <w:tr w14:paraId="76BB44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75494CE7">
            <w:pPr>
              <w:pStyle w:val="61"/>
              <w:spacing w:line="240" w:lineRule="auto"/>
              <w:rPr>
                <w:rFonts w:eastAsia="宋体" w:cs="Times New Roman"/>
                <w:color w:val="auto"/>
              </w:rPr>
            </w:pPr>
            <w:r>
              <w:rPr>
                <w:rFonts w:eastAsia="宋体" w:cs="Times New Roman"/>
                <w:color w:val="auto"/>
              </w:rPr>
              <w:t>15</w:t>
            </w:r>
          </w:p>
        </w:tc>
        <w:tc>
          <w:tcPr>
            <w:tcW w:w="4573" w:type="pct"/>
            <w:noWrap w:val="0"/>
            <w:vAlign w:val="center"/>
          </w:tcPr>
          <w:p w14:paraId="6BA81BB6">
            <w:pPr>
              <w:pStyle w:val="61"/>
              <w:spacing w:line="240" w:lineRule="auto"/>
              <w:rPr>
                <w:rFonts w:eastAsia="宋体" w:cs="Times New Roman"/>
                <w:color w:val="auto"/>
              </w:rPr>
            </w:pPr>
            <w:r>
              <w:rPr>
                <w:rFonts w:hint="eastAsia" w:eastAsia="宋体" w:cs="Times New Roman"/>
                <w:color w:val="auto"/>
              </w:rPr>
              <w:t>禁止大声喧哗，采取专人专管的原则，根据监视和测量程序对不同的施工阶段对噪声进行监测，及时采取降噪措施。</w:t>
            </w:r>
          </w:p>
        </w:tc>
      </w:tr>
    </w:tbl>
    <w:p w14:paraId="0DAD3868">
      <w:pPr>
        <w:ind w:firstLine="480"/>
        <w:rPr>
          <w:rFonts w:eastAsia="宋体" w:cs="Times New Roman"/>
          <w:color w:val="auto"/>
        </w:rPr>
      </w:pPr>
      <w:r>
        <w:rPr>
          <w:rFonts w:hint="eastAsia" w:eastAsia="宋体" w:cs="Times New Roman"/>
          <w:color w:val="auto"/>
        </w:rPr>
        <w:t>（</w:t>
      </w:r>
      <w:r>
        <w:rPr>
          <w:rFonts w:eastAsia="宋体" w:cs="Times New Roman"/>
          <w:color w:val="auto"/>
        </w:rPr>
        <w:t>3</w:t>
      </w:r>
      <w:r>
        <w:rPr>
          <w:rFonts w:hint="eastAsia" w:eastAsia="宋体" w:cs="Times New Roman"/>
          <w:color w:val="auto"/>
        </w:rPr>
        <w:t>）光污染控制</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04"/>
        <w:gridCol w:w="8482"/>
      </w:tblGrid>
      <w:tr w14:paraId="3FBEEF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30DB9E1B">
            <w:pPr>
              <w:pStyle w:val="61"/>
              <w:spacing w:line="240" w:lineRule="auto"/>
              <w:rPr>
                <w:rFonts w:eastAsia="宋体" w:cs="Times New Roman"/>
                <w:color w:val="auto"/>
              </w:rPr>
            </w:pPr>
            <w:r>
              <w:rPr>
                <w:rFonts w:hint="eastAsia" w:eastAsia="宋体" w:cs="Times New Roman"/>
                <w:color w:val="auto"/>
              </w:rPr>
              <w:t>序号</w:t>
            </w:r>
          </w:p>
        </w:tc>
        <w:tc>
          <w:tcPr>
            <w:tcW w:w="4566" w:type="pct"/>
            <w:noWrap w:val="0"/>
            <w:vAlign w:val="top"/>
          </w:tcPr>
          <w:p w14:paraId="3D49091E">
            <w:pPr>
              <w:pStyle w:val="61"/>
              <w:spacing w:line="240" w:lineRule="auto"/>
              <w:rPr>
                <w:rFonts w:eastAsia="宋体" w:cs="Times New Roman"/>
                <w:color w:val="auto"/>
              </w:rPr>
            </w:pPr>
            <w:r>
              <w:rPr>
                <w:rFonts w:hint="eastAsia" w:eastAsia="宋体" w:cs="Times New Roman"/>
                <w:color w:val="auto"/>
              </w:rPr>
              <w:t>内容</w:t>
            </w:r>
          </w:p>
        </w:tc>
      </w:tr>
      <w:tr w14:paraId="1CF356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49BAB660">
            <w:pPr>
              <w:pStyle w:val="61"/>
              <w:spacing w:line="240" w:lineRule="auto"/>
              <w:rPr>
                <w:rFonts w:eastAsia="宋体" w:cs="Times New Roman"/>
                <w:color w:val="auto"/>
              </w:rPr>
            </w:pPr>
            <w:r>
              <w:rPr>
                <w:rFonts w:eastAsia="宋体" w:cs="Times New Roman"/>
                <w:color w:val="auto"/>
              </w:rPr>
              <w:t>1</w:t>
            </w:r>
          </w:p>
        </w:tc>
        <w:tc>
          <w:tcPr>
            <w:tcW w:w="4566" w:type="pct"/>
            <w:noWrap w:val="0"/>
            <w:vAlign w:val="top"/>
          </w:tcPr>
          <w:p w14:paraId="2E80D8C9">
            <w:pPr>
              <w:pStyle w:val="61"/>
              <w:spacing w:line="240" w:lineRule="auto"/>
              <w:jc w:val="left"/>
              <w:rPr>
                <w:rFonts w:eastAsia="宋体" w:cs="Times New Roman"/>
                <w:color w:val="auto"/>
              </w:rPr>
            </w:pPr>
            <w:r>
              <w:rPr>
                <w:rFonts w:hint="eastAsia" w:eastAsia="宋体" w:cs="Times New Roman"/>
                <w:color w:val="auto"/>
              </w:rPr>
              <w:t>现场夜间塔吊上的镝灯，用白铁皮制作更小角度的遮光罩，避免强光外泄，同时将透光方向集中在施工范围。局部照明的碘钨灯，在灯架外用白铁皮制作简易灯罩，避免光外泄。</w:t>
            </w:r>
          </w:p>
        </w:tc>
      </w:tr>
      <w:tr w14:paraId="3E0789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7E6B4D5A">
            <w:pPr>
              <w:pStyle w:val="61"/>
              <w:spacing w:line="240" w:lineRule="auto"/>
              <w:rPr>
                <w:rFonts w:eastAsia="宋体" w:cs="Times New Roman"/>
                <w:color w:val="auto"/>
              </w:rPr>
            </w:pPr>
            <w:r>
              <w:rPr>
                <w:rFonts w:eastAsia="宋体" w:cs="Times New Roman"/>
                <w:color w:val="auto"/>
              </w:rPr>
              <w:t>2</w:t>
            </w:r>
          </w:p>
        </w:tc>
        <w:tc>
          <w:tcPr>
            <w:tcW w:w="4566" w:type="pct"/>
            <w:noWrap w:val="0"/>
            <w:vAlign w:val="top"/>
          </w:tcPr>
          <w:p w14:paraId="28112BDC">
            <w:pPr>
              <w:pStyle w:val="61"/>
              <w:spacing w:line="240" w:lineRule="auto"/>
              <w:jc w:val="left"/>
              <w:rPr>
                <w:rFonts w:eastAsia="宋体" w:cs="Times New Roman"/>
                <w:color w:val="auto"/>
              </w:rPr>
            </w:pPr>
            <w:r>
              <w:rPr>
                <w:rFonts w:hint="eastAsia" w:eastAsia="宋体" w:cs="Times New Roman"/>
                <w:color w:val="auto"/>
              </w:rPr>
              <w:t>办公区、生活区夜间路灯全部采用节能灯具，不产生强光。</w:t>
            </w:r>
          </w:p>
        </w:tc>
      </w:tr>
      <w:tr w14:paraId="5C1A70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46CA6A53">
            <w:pPr>
              <w:pStyle w:val="61"/>
              <w:spacing w:line="240" w:lineRule="auto"/>
              <w:rPr>
                <w:rFonts w:eastAsia="宋体" w:cs="Times New Roman"/>
                <w:color w:val="auto"/>
              </w:rPr>
            </w:pPr>
            <w:r>
              <w:rPr>
                <w:rFonts w:eastAsia="宋体" w:cs="Times New Roman"/>
                <w:color w:val="auto"/>
              </w:rPr>
              <w:t>3</w:t>
            </w:r>
          </w:p>
        </w:tc>
        <w:tc>
          <w:tcPr>
            <w:tcW w:w="4566" w:type="pct"/>
            <w:noWrap w:val="0"/>
            <w:vAlign w:val="top"/>
          </w:tcPr>
          <w:p w14:paraId="75DC1DAC">
            <w:pPr>
              <w:pStyle w:val="61"/>
              <w:spacing w:line="240" w:lineRule="auto"/>
              <w:jc w:val="left"/>
              <w:rPr>
                <w:rFonts w:eastAsia="宋体" w:cs="Times New Roman"/>
                <w:color w:val="auto"/>
              </w:rPr>
            </w:pPr>
            <w:r>
              <w:rPr>
                <w:rFonts w:hint="eastAsia" w:eastAsia="宋体" w:cs="Times New Roman"/>
                <w:color w:val="auto"/>
              </w:rPr>
              <w:t>现场避雷接地焊接、钢筋搭接焊等使用电焊位置，用专用遮光布四面遮挡，同时在下部设置焊花簸箕，避免强光外泄。</w:t>
            </w:r>
          </w:p>
        </w:tc>
      </w:tr>
      <w:tr w14:paraId="5B4CC2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0F179D8A">
            <w:pPr>
              <w:pStyle w:val="61"/>
              <w:spacing w:line="240" w:lineRule="auto"/>
              <w:rPr>
                <w:rFonts w:eastAsia="宋体" w:cs="Times New Roman"/>
                <w:color w:val="auto"/>
              </w:rPr>
            </w:pPr>
            <w:r>
              <w:rPr>
                <w:rFonts w:eastAsia="宋体" w:cs="Times New Roman"/>
                <w:color w:val="auto"/>
              </w:rPr>
              <w:t>4</w:t>
            </w:r>
          </w:p>
        </w:tc>
        <w:tc>
          <w:tcPr>
            <w:tcW w:w="4566" w:type="pct"/>
            <w:noWrap w:val="0"/>
            <w:vAlign w:val="top"/>
          </w:tcPr>
          <w:p w14:paraId="5C2D8660">
            <w:pPr>
              <w:pStyle w:val="61"/>
              <w:spacing w:line="240" w:lineRule="auto"/>
              <w:jc w:val="left"/>
              <w:rPr>
                <w:rFonts w:eastAsia="宋体" w:cs="Times New Roman"/>
                <w:color w:val="auto"/>
              </w:rPr>
            </w:pPr>
            <w:r>
              <w:rPr>
                <w:rFonts w:hint="eastAsia" w:eastAsia="宋体" w:cs="Times New Roman"/>
                <w:color w:val="auto"/>
              </w:rPr>
              <w:t>现场设置专门的焊接加工车间，对马櫈、预埋件、吊笼、推车等构件和器具能够集中加工的一律在车间进行焊接，同时对焊接车间采取分隔、遮挡措施，减少光污染。</w:t>
            </w:r>
          </w:p>
        </w:tc>
      </w:tr>
    </w:tbl>
    <w:p w14:paraId="33A85372">
      <w:pPr>
        <w:ind w:firstLine="480"/>
        <w:rPr>
          <w:rFonts w:hint="eastAsia" w:ascii="Times New Roman" w:hAnsi="Times New Roman" w:eastAsia="宋体" w:cs="Times New Roman"/>
          <w:color w:val="auto"/>
        </w:rPr>
      </w:pPr>
      <w:r>
        <w:rPr>
          <w:rFonts w:hint="eastAsia" w:ascii="Times New Roman" w:hAnsi="Times New Roman" w:eastAsia="宋体" w:cs="Times New Roman"/>
          <w:color w:val="auto"/>
        </w:rPr>
        <w:t>（4）水污染控制</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91"/>
        <w:gridCol w:w="8495"/>
      </w:tblGrid>
      <w:tr w14:paraId="56139A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46D29AED">
            <w:pPr>
              <w:pStyle w:val="61"/>
              <w:spacing w:line="240" w:lineRule="auto"/>
              <w:rPr>
                <w:rFonts w:eastAsia="宋体" w:cs="Times New Roman"/>
                <w:color w:val="auto"/>
              </w:rPr>
            </w:pPr>
            <w:r>
              <w:rPr>
                <w:rFonts w:hint="eastAsia" w:eastAsia="宋体" w:cs="Times New Roman"/>
                <w:color w:val="auto"/>
              </w:rPr>
              <w:t>序号</w:t>
            </w:r>
          </w:p>
        </w:tc>
        <w:tc>
          <w:tcPr>
            <w:tcW w:w="4573" w:type="pct"/>
            <w:noWrap w:val="0"/>
            <w:vAlign w:val="center"/>
          </w:tcPr>
          <w:p w14:paraId="5DFA9D5E">
            <w:pPr>
              <w:pStyle w:val="61"/>
              <w:spacing w:line="240" w:lineRule="auto"/>
              <w:rPr>
                <w:rFonts w:eastAsia="宋体" w:cs="Times New Roman"/>
                <w:color w:val="auto"/>
              </w:rPr>
            </w:pPr>
            <w:r>
              <w:rPr>
                <w:rFonts w:hint="eastAsia" w:eastAsia="宋体" w:cs="Times New Roman"/>
                <w:color w:val="auto"/>
              </w:rPr>
              <w:t>内容</w:t>
            </w:r>
          </w:p>
        </w:tc>
      </w:tr>
      <w:tr w14:paraId="56349A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4525BB58">
            <w:pPr>
              <w:pStyle w:val="61"/>
              <w:spacing w:line="240" w:lineRule="auto"/>
              <w:rPr>
                <w:rFonts w:eastAsia="宋体" w:cs="Times New Roman"/>
                <w:color w:val="auto"/>
              </w:rPr>
            </w:pPr>
            <w:r>
              <w:rPr>
                <w:rFonts w:eastAsia="宋体" w:cs="Times New Roman"/>
                <w:color w:val="auto"/>
              </w:rPr>
              <w:t>1</w:t>
            </w:r>
          </w:p>
        </w:tc>
        <w:tc>
          <w:tcPr>
            <w:tcW w:w="4573" w:type="pct"/>
            <w:noWrap w:val="0"/>
            <w:vAlign w:val="center"/>
          </w:tcPr>
          <w:p w14:paraId="6129E80A">
            <w:pPr>
              <w:pStyle w:val="61"/>
              <w:spacing w:line="240" w:lineRule="auto"/>
              <w:jc w:val="left"/>
              <w:rPr>
                <w:rFonts w:eastAsia="宋体" w:cs="Times New Roman"/>
                <w:color w:val="auto"/>
              </w:rPr>
            </w:pPr>
            <w:r>
              <w:rPr>
                <w:rFonts w:hint="eastAsia" w:eastAsia="宋体" w:cs="Times New Roman"/>
                <w:color w:val="auto"/>
              </w:rPr>
              <w:t>现场抽取的地下水全部经过三级沉淀池进行沉淀去除泥沙之后，排入市政管道；每个厕所均设置一个化粪池；每个食堂边设置</w:t>
            </w:r>
            <w:r>
              <w:rPr>
                <w:rFonts w:eastAsia="宋体" w:cs="Times New Roman"/>
                <w:color w:val="auto"/>
              </w:rPr>
              <w:t>1.5m3</w:t>
            </w:r>
            <w:r>
              <w:rPr>
                <w:rFonts w:hint="eastAsia" w:eastAsia="宋体" w:cs="Times New Roman"/>
                <w:color w:val="auto"/>
              </w:rPr>
              <w:t>的隔油池。化粪池、隔油池每个月请具有专业资质的单位进行一次清掏。</w:t>
            </w:r>
          </w:p>
        </w:tc>
      </w:tr>
      <w:tr w14:paraId="0FD655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0D9ABA28">
            <w:pPr>
              <w:pStyle w:val="61"/>
              <w:spacing w:line="240" w:lineRule="auto"/>
              <w:rPr>
                <w:rFonts w:eastAsia="宋体" w:cs="Times New Roman"/>
                <w:color w:val="auto"/>
              </w:rPr>
            </w:pPr>
            <w:r>
              <w:rPr>
                <w:rFonts w:eastAsia="宋体" w:cs="Times New Roman"/>
                <w:color w:val="auto"/>
              </w:rPr>
              <w:t>2</w:t>
            </w:r>
          </w:p>
        </w:tc>
        <w:tc>
          <w:tcPr>
            <w:tcW w:w="4573" w:type="pct"/>
            <w:noWrap w:val="0"/>
            <w:vAlign w:val="center"/>
          </w:tcPr>
          <w:p w14:paraId="10C77BDB">
            <w:pPr>
              <w:pStyle w:val="61"/>
              <w:spacing w:line="240" w:lineRule="auto"/>
              <w:jc w:val="left"/>
              <w:rPr>
                <w:rFonts w:eastAsia="宋体" w:cs="Times New Roman"/>
                <w:color w:val="auto"/>
              </w:rPr>
            </w:pPr>
            <w:r>
              <w:rPr>
                <w:rFonts w:hint="eastAsia" w:eastAsia="宋体" w:cs="Times New Roman"/>
                <w:color w:val="auto"/>
              </w:rPr>
              <w:t>洗车槽、雨水临时管网与市政管网之间设置三级沉淀池，雨天每</w:t>
            </w:r>
            <w:r>
              <w:rPr>
                <w:rFonts w:eastAsia="宋体" w:cs="Times New Roman"/>
                <w:color w:val="auto"/>
              </w:rPr>
              <w:t>3</w:t>
            </w:r>
            <w:r>
              <w:rPr>
                <w:rFonts w:hint="eastAsia" w:eastAsia="宋体" w:cs="Times New Roman"/>
                <w:color w:val="auto"/>
              </w:rPr>
              <w:t>天，晴天每周对沉淀池水质进行简易监测，每月请环保局进行水质检测。</w:t>
            </w:r>
          </w:p>
        </w:tc>
      </w:tr>
      <w:tr w14:paraId="3B3BF8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718BB4F4">
            <w:pPr>
              <w:pStyle w:val="61"/>
              <w:spacing w:line="240" w:lineRule="auto"/>
              <w:rPr>
                <w:rFonts w:eastAsia="宋体" w:cs="Times New Roman"/>
                <w:color w:val="auto"/>
              </w:rPr>
            </w:pPr>
            <w:r>
              <w:rPr>
                <w:rFonts w:eastAsia="宋体" w:cs="Times New Roman"/>
                <w:color w:val="auto"/>
              </w:rPr>
              <w:t>3</w:t>
            </w:r>
          </w:p>
        </w:tc>
        <w:tc>
          <w:tcPr>
            <w:tcW w:w="4573" w:type="pct"/>
            <w:noWrap w:val="0"/>
            <w:vAlign w:val="center"/>
          </w:tcPr>
          <w:p w14:paraId="6339569D">
            <w:pPr>
              <w:pStyle w:val="61"/>
              <w:spacing w:line="240" w:lineRule="auto"/>
              <w:jc w:val="left"/>
              <w:rPr>
                <w:rFonts w:eastAsia="宋体" w:cs="Times New Roman"/>
                <w:color w:val="auto"/>
              </w:rPr>
            </w:pPr>
            <w:r>
              <w:rPr>
                <w:rFonts w:hint="eastAsia" w:eastAsia="宋体" w:cs="Times New Roman"/>
                <w:color w:val="auto"/>
              </w:rPr>
              <w:t>现场亚硝酸盐防冻剂、设备润滑油均放置在库房专用货架上，避免被雨水冲淋。</w:t>
            </w:r>
          </w:p>
        </w:tc>
      </w:tr>
      <w:tr w14:paraId="76AACD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323A7BD3">
            <w:pPr>
              <w:pStyle w:val="61"/>
              <w:spacing w:line="240" w:lineRule="auto"/>
              <w:rPr>
                <w:rFonts w:eastAsia="宋体" w:cs="Times New Roman"/>
                <w:color w:val="auto"/>
              </w:rPr>
            </w:pPr>
            <w:r>
              <w:rPr>
                <w:rFonts w:eastAsia="宋体" w:cs="Times New Roman"/>
                <w:color w:val="auto"/>
              </w:rPr>
              <w:t>4</w:t>
            </w:r>
          </w:p>
        </w:tc>
        <w:tc>
          <w:tcPr>
            <w:tcW w:w="4573" w:type="pct"/>
            <w:noWrap w:val="0"/>
            <w:vAlign w:val="center"/>
          </w:tcPr>
          <w:p w14:paraId="5E65204C">
            <w:pPr>
              <w:pStyle w:val="61"/>
              <w:spacing w:line="240" w:lineRule="auto"/>
              <w:jc w:val="left"/>
              <w:rPr>
                <w:rFonts w:eastAsia="宋体" w:cs="Times New Roman"/>
                <w:color w:val="auto"/>
              </w:rPr>
            </w:pPr>
            <w:r>
              <w:rPr>
                <w:rFonts w:hint="eastAsia" w:eastAsia="宋体" w:cs="Times New Roman"/>
                <w:color w:val="auto"/>
              </w:rPr>
              <w:t>钢筋焊接部位设置遮光棚，防止强光外射对运营区域造成不良影响，遮光棚采用钢管扣件、防火帆布搭设，可拆卸周转使用；</w:t>
            </w:r>
          </w:p>
        </w:tc>
      </w:tr>
      <w:tr w14:paraId="07B6D9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26" w:type="pct"/>
            <w:noWrap w:val="0"/>
            <w:vAlign w:val="center"/>
          </w:tcPr>
          <w:p w14:paraId="4AEB86F8">
            <w:pPr>
              <w:pStyle w:val="61"/>
              <w:spacing w:line="240" w:lineRule="auto"/>
              <w:rPr>
                <w:rFonts w:eastAsia="宋体" w:cs="Times New Roman"/>
                <w:color w:val="auto"/>
              </w:rPr>
            </w:pPr>
            <w:r>
              <w:rPr>
                <w:rFonts w:eastAsia="宋体" w:cs="Times New Roman"/>
                <w:color w:val="auto"/>
              </w:rPr>
              <w:t>5</w:t>
            </w:r>
          </w:p>
        </w:tc>
        <w:tc>
          <w:tcPr>
            <w:tcW w:w="4573" w:type="pct"/>
            <w:noWrap w:val="0"/>
            <w:vAlign w:val="center"/>
          </w:tcPr>
          <w:p w14:paraId="6EFACB28">
            <w:pPr>
              <w:pStyle w:val="61"/>
              <w:spacing w:line="240" w:lineRule="auto"/>
              <w:jc w:val="left"/>
              <w:rPr>
                <w:rFonts w:eastAsia="宋体" w:cs="Times New Roman"/>
                <w:color w:val="auto"/>
              </w:rPr>
            </w:pPr>
            <w:r>
              <w:rPr>
                <w:rFonts w:hint="eastAsia" w:eastAsia="宋体" w:cs="Times New Roman"/>
                <w:color w:val="auto"/>
              </w:rPr>
              <w:t>在工作面设置挡光彩条布遮挡强光。</w:t>
            </w:r>
          </w:p>
        </w:tc>
      </w:tr>
    </w:tbl>
    <w:p w14:paraId="77ED0002">
      <w:pPr>
        <w:ind w:firstLine="480"/>
        <w:rPr>
          <w:rFonts w:hint="eastAsia" w:ascii="宋体" w:hAnsi="宋体" w:eastAsia="宋体" w:cs="Times New Roman"/>
          <w:color w:val="auto"/>
        </w:rPr>
      </w:pPr>
      <w:r>
        <w:rPr>
          <w:rFonts w:hint="eastAsia" w:ascii="宋体" w:hAnsi="宋体" w:eastAsia="宋体" w:cs="Times New Roman"/>
          <w:color w:val="auto"/>
        </w:rPr>
        <w:t>（5）土壤保护</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428"/>
        <w:gridCol w:w="7858"/>
      </w:tblGrid>
      <w:tr w14:paraId="514E01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769" w:type="pct"/>
            <w:noWrap w:val="0"/>
            <w:vAlign w:val="center"/>
          </w:tcPr>
          <w:p w14:paraId="0FB9100E">
            <w:pPr>
              <w:pStyle w:val="61"/>
              <w:spacing w:line="240" w:lineRule="auto"/>
              <w:rPr>
                <w:rFonts w:eastAsia="宋体" w:cs="Times New Roman"/>
                <w:color w:val="auto"/>
              </w:rPr>
            </w:pPr>
            <w:r>
              <w:rPr>
                <w:rFonts w:hint="eastAsia" w:eastAsia="宋体" w:cs="Times New Roman"/>
                <w:color w:val="auto"/>
              </w:rPr>
              <w:t>序号</w:t>
            </w:r>
          </w:p>
        </w:tc>
        <w:tc>
          <w:tcPr>
            <w:tcW w:w="4231" w:type="pct"/>
            <w:noWrap w:val="0"/>
            <w:vAlign w:val="top"/>
          </w:tcPr>
          <w:p w14:paraId="3E9DC955">
            <w:pPr>
              <w:pStyle w:val="61"/>
              <w:spacing w:line="240" w:lineRule="auto"/>
              <w:rPr>
                <w:rFonts w:eastAsia="宋体" w:cs="Times New Roman"/>
                <w:color w:val="auto"/>
              </w:rPr>
            </w:pPr>
            <w:r>
              <w:rPr>
                <w:rFonts w:hint="eastAsia" w:eastAsia="宋体" w:cs="Times New Roman"/>
                <w:color w:val="auto"/>
              </w:rPr>
              <w:t>内容</w:t>
            </w:r>
          </w:p>
        </w:tc>
      </w:tr>
      <w:tr w14:paraId="1D0BB3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769" w:type="pct"/>
            <w:noWrap w:val="0"/>
            <w:vAlign w:val="center"/>
          </w:tcPr>
          <w:p w14:paraId="3E1FCEC9">
            <w:pPr>
              <w:pStyle w:val="61"/>
              <w:spacing w:line="240" w:lineRule="auto"/>
              <w:rPr>
                <w:rFonts w:eastAsia="宋体" w:cs="Times New Roman"/>
                <w:color w:val="auto"/>
              </w:rPr>
            </w:pPr>
            <w:r>
              <w:rPr>
                <w:rFonts w:eastAsia="宋体" w:cs="Times New Roman"/>
                <w:color w:val="auto"/>
              </w:rPr>
              <w:t>1</w:t>
            </w:r>
          </w:p>
        </w:tc>
        <w:tc>
          <w:tcPr>
            <w:tcW w:w="4231" w:type="pct"/>
            <w:noWrap w:val="0"/>
            <w:vAlign w:val="top"/>
          </w:tcPr>
          <w:p w14:paraId="36C698A2">
            <w:pPr>
              <w:pStyle w:val="61"/>
              <w:spacing w:line="240" w:lineRule="auto"/>
              <w:jc w:val="left"/>
              <w:rPr>
                <w:rFonts w:eastAsia="宋体" w:cs="Times New Roman"/>
                <w:color w:val="auto"/>
              </w:rPr>
            </w:pPr>
            <w:r>
              <w:rPr>
                <w:rFonts w:hint="eastAsia" w:eastAsia="宋体" w:cs="Times New Roman"/>
                <w:color w:val="auto"/>
              </w:rPr>
              <w:t>现场指派专人对化粪池、隔油池、沉淀池进行定期维护，保证畅通。化粪池、隔油池每个月进行清掏；排水沟、沉淀池每周派专人疏通、清理。</w:t>
            </w:r>
          </w:p>
        </w:tc>
      </w:tr>
      <w:tr w14:paraId="1E8A27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769" w:type="pct"/>
            <w:noWrap w:val="0"/>
            <w:vAlign w:val="center"/>
          </w:tcPr>
          <w:p w14:paraId="2CD884A9">
            <w:pPr>
              <w:pStyle w:val="61"/>
              <w:spacing w:line="240" w:lineRule="auto"/>
              <w:rPr>
                <w:rFonts w:eastAsia="宋体" w:cs="Times New Roman"/>
                <w:color w:val="auto"/>
              </w:rPr>
            </w:pPr>
            <w:r>
              <w:rPr>
                <w:rFonts w:eastAsia="宋体" w:cs="Times New Roman"/>
                <w:color w:val="auto"/>
              </w:rPr>
              <w:t>2</w:t>
            </w:r>
          </w:p>
        </w:tc>
        <w:tc>
          <w:tcPr>
            <w:tcW w:w="4231" w:type="pct"/>
            <w:noWrap w:val="0"/>
            <w:vAlign w:val="top"/>
          </w:tcPr>
          <w:p w14:paraId="19DF9885">
            <w:pPr>
              <w:pStyle w:val="61"/>
              <w:spacing w:line="240" w:lineRule="auto"/>
              <w:jc w:val="left"/>
              <w:rPr>
                <w:rFonts w:eastAsia="宋体" w:cs="Times New Roman"/>
                <w:color w:val="auto"/>
              </w:rPr>
            </w:pPr>
            <w:r>
              <w:rPr>
                <w:rFonts w:hint="eastAsia" w:eastAsia="宋体" w:cs="Times New Roman"/>
                <w:color w:val="auto"/>
              </w:rPr>
              <w:t>现场设置废旧电池、墨盒、油漆、涂料回收点。当回收达到一定数量时，由专业单位回收处理。</w:t>
            </w:r>
          </w:p>
        </w:tc>
      </w:tr>
      <w:tr w14:paraId="4939AD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769" w:type="pct"/>
            <w:noWrap w:val="0"/>
            <w:vAlign w:val="center"/>
          </w:tcPr>
          <w:p w14:paraId="783B21B8">
            <w:pPr>
              <w:pStyle w:val="61"/>
              <w:spacing w:line="240" w:lineRule="auto"/>
              <w:rPr>
                <w:rFonts w:eastAsia="宋体" w:cs="Times New Roman"/>
                <w:color w:val="auto"/>
              </w:rPr>
            </w:pPr>
            <w:r>
              <w:rPr>
                <w:rFonts w:eastAsia="宋体" w:cs="Times New Roman"/>
                <w:color w:val="auto"/>
              </w:rPr>
              <w:t>3</w:t>
            </w:r>
          </w:p>
        </w:tc>
        <w:tc>
          <w:tcPr>
            <w:tcW w:w="4231" w:type="pct"/>
            <w:noWrap w:val="0"/>
            <w:vAlign w:val="top"/>
          </w:tcPr>
          <w:p w14:paraId="005AD7C6">
            <w:pPr>
              <w:pStyle w:val="61"/>
              <w:spacing w:line="240" w:lineRule="auto"/>
              <w:jc w:val="left"/>
              <w:rPr>
                <w:rFonts w:eastAsia="宋体" w:cs="Times New Roman"/>
                <w:color w:val="auto"/>
              </w:rPr>
            </w:pPr>
            <w:r>
              <w:rPr>
                <w:rFonts w:hint="eastAsia" w:eastAsia="宋体" w:cs="Times New Roman"/>
                <w:color w:val="auto"/>
              </w:rPr>
              <w:t>工程竣工或临建搬迁后，组织专门的劳务队伍破除硬化的临时道路和临建基础，将建筑垃圾外运，原场地交由室外小市政施工装饰小品或绿化。</w:t>
            </w:r>
          </w:p>
        </w:tc>
      </w:tr>
    </w:tbl>
    <w:p w14:paraId="3C16AB3E">
      <w:pPr>
        <w:ind w:firstLine="480"/>
        <w:rPr>
          <w:rFonts w:hint="eastAsia" w:ascii="宋体" w:hAnsi="宋体" w:eastAsia="宋体" w:cs="Times New Roman"/>
          <w:color w:val="auto"/>
        </w:rPr>
      </w:pPr>
      <w:r>
        <w:rPr>
          <w:rFonts w:hint="eastAsia" w:ascii="宋体" w:hAnsi="宋体" w:eastAsia="宋体" w:cs="Times New Roman"/>
          <w:color w:val="auto"/>
        </w:rPr>
        <w:t>（6）建筑垃圾控制</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04"/>
        <w:gridCol w:w="8482"/>
      </w:tblGrid>
      <w:tr w14:paraId="534301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433" w:type="pct"/>
            <w:noWrap w:val="0"/>
            <w:vAlign w:val="center"/>
          </w:tcPr>
          <w:p w14:paraId="5D4A342B">
            <w:pPr>
              <w:pStyle w:val="61"/>
              <w:spacing w:line="240" w:lineRule="auto"/>
              <w:rPr>
                <w:rFonts w:hint="eastAsia" w:eastAsia="宋体" w:cs="Times New Roman"/>
                <w:color w:val="auto"/>
              </w:rPr>
            </w:pPr>
            <w:r>
              <w:rPr>
                <w:rFonts w:hint="eastAsia" w:eastAsia="宋体" w:cs="Times New Roman"/>
                <w:color w:val="auto"/>
              </w:rPr>
              <w:t>序号</w:t>
            </w:r>
          </w:p>
        </w:tc>
        <w:tc>
          <w:tcPr>
            <w:tcW w:w="4566" w:type="pct"/>
            <w:noWrap w:val="0"/>
            <w:vAlign w:val="top"/>
          </w:tcPr>
          <w:p w14:paraId="703E46DA">
            <w:pPr>
              <w:pStyle w:val="61"/>
              <w:spacing w:line="240" w:lineRule="auto"/>
              <w:rPr>
                <w:rFonts w:hint="eastAsia" w:eastAsia="宋体" w:cs="Times New Roman"/>
                <w:color w:val="auto"/>
              </w:rPr>
            </w:pPr>
            <w:r>
              <w:rPr>
                <w:rFonts w:hint="eastAsia" w:eastAsia="宋体" w:cs="Times New Roman"/>
                <w:color w:val="auto"/>
              </w:rPr>
              <w:t>内容</w:t>
            </w:r>
          </w:p>
        </w:tc>
      </w:tr>
      <w:tr w14:paraId="0364F6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5161FE9C">
            <w:pPr>
              <w:pStyle w:val="61"/>
              <w:spacing w:line="240" w:lineRule="auto"/>
              <w:rPr>
                <w:rFonts w:hint="eastAsia" w:eastAsia="宋体" w:cs="Times New Roman"/>
                <w:color w:val="auto"/>
              </w:rPr>
            </w:pPr>
            <w:r>
              <w:rPr>
                <w:rFonts w:hint="eastAsia" w:eastAsia="宋体" w:cs="Times New Roman"/>
                <w:color w:val="auto"/>
              </w:rPr>
              <w:t>1</w:t>
            </w:r>
          </w:p>
        </w:tc>
        <w:tc>
          <w:tcPr>
            <w:tcW w:w="4566" w:type="pct"/>
            <w:noWrap w:val="0"/>
            <w:vAlign w:val="top"/>
          </w:tcPr>
          <w:p w14:paraId="08FF1D3F">
            <w:pPr>
              <w:pStyle w:val="61"/>
              <w:spacing w:line="240" w:lineRule="auto"/>
              <w:jc w:val="left"/>
              <w:rPr>
                <w:rFonts w:hint="eastAsia" w:eastAsia="宋体" w:cs="Times New Roman"/>
                <w:color w:val="auto"/>
              </w:rPr>
            </w:pPr>
            <w:r>
              <w:rPr>
                <w:rFonts w:hint="eastAsia" w:eastAsia="宋体" w:cs="Times New Roman"/>
                <w:color w:val="auto"/>
              </w:rPr>
              <w:t>加强模板工程的质量控制，避免拼缝过大产生漏浆、加固不牢产生胀模，从而减少固体建筑垃圾的产生。</w:t>
            </w:r>
          </w:p>
        </w:tc>
      </w:tr>
      <w:tr w14:paraId="7D01CF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1039CFEA">
            <w:pPr>
              <w:pStyle w:val="61"/>
              <w:spacing w:line="240" w:lineRule="auto"/>
              <w:rPr>
                <w:rFonts w:hint="eastAsia" w:eastAsia="宋体" w:cs="Times New Roman"/>
                <w:color w:val="auto"/>
              </w:rPr>
            </w:pPr>
            <w:r>
              <w:rPr>
                <w:rFonts w:hint="eastAsia" w:eastAsia="宋体" w:cs="Times New Roman"/>
                <w:color w:val="auto"/>
              </w:rPr>
              <w:t>2</w:t>
            </w:r>
          </w:p>
        </w:tc>
        <w:tc>
          <w:tcPr>
            <w:tcW w:w="4566" w:type="pct"/>
            <w:noWrap w:val="0"/>
            <w:vAlign w:val="top"/>
          </w:tcPr>
          <w:p w14:paraId="6199E9EE">
            <w:pPr>
              <w:pStyle w:val="61"/>
              <w:spacing w:line="240" w:lineRule="auto"/>
              <w:jc w:val="left"/>
              <w:rPr>
                <w:rFonts w:hint="eastAsia" w:eastAsia="宋体" w:cs="Times New Roman"/>
                <w:color w:val="auto"/>
              </w:rPr>
            </w:pPr>
            <w:r>
              <w:rPr>
                <w:rFonts w:hint="eastAsia" w:eastAsia="宋体" w:cs="Times New Roman"/>
                <w:color w:val="auto"/>
              </w:rPr>
              <w:t>提前做好精装修深化设计工作，避免墙体偏位拆除，尽量减少墙、地砖以及吊顶板材非整块的使用。</w:t>
            </w:r>
          </w:p>
        </w:tc>
      </w:tr>
      <w:tr w14:paraId="2BC68A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5545F3A4">
            <w:pPr>
              <w:pStyle w:val="61"/>
              <w:spacing w:line="240" w:lineRule="auto"/>
              <w:rPr>
                <w:rFonts w:hint="eastAsia" w:eastAsia="宋体" w:cs="Times New Roman"/>
                <w:color w:val="auto"/>
              </w:rPr>
            </w:pPr>
            <w:r>
              <w:rPr>
                <w:rFonts w:hint="eastAsia" w:eastAsia="宋体" w:cs="Times New Roman"/>
                <w:color w:val="auto"/>
              </w:rPr>
              <w:t>3</w:t>
            </w:r>
          </w:p>
        </w:tc>
        <w:tc>
          <w:tcPr>
            <w:tcW w:w="4566" w:type="pct"/>
            <w:noWrap w:val="0"/>
            <w:vAlign w:val="top"/>
          </w:tcPr>
          <w:p w14:paraId="5D2CAE09">
            <w:pPr>
              <w:pStyle w:val="61"/>
              <w:spacing w:line="240" w:lineRule="auto"/>
              <w:jc w:val="left"/>
              <w:rPr>
                <w:rFonts w:hint="eastAsia" w:eastAsia="宋体" w:cs="Times New Roman"/>
                <w:color w:val="auto"/>
              </w:rPr>
            </w:pPr>
            <w:r>
              <w:rPr>
                <w:rFonts w:hint="eastAsia" w:eastAsia="宋体" w:cs="Times New Roman"/>
                <w:color w:val="auto"/>
              </w:rPr>
              <w:t>二次结构砌块边角料、面砖边角料等固体垃圾，通过现场简易的破碎处理并清除有机质后，用于室外散水、景观小品、道路等基础的换填处理。</w:t>
            </w:r>
          </w:p>
        </w:tc>
      </w:tr>
      <w:tr w14:paraId="61009A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609A0750">
            <w:pPr>
              <w:pStyle w:val="61"/>
              <w:spacing w:line="240" w:lineRule="auto"/>
              <w:rPr>
                <w:rFonts w:hint="eastAsia" w:eastAsia="宋体" w:cs="Times New Roman"/>
                <w:color w:val="auto"/>
              </w:rPr>
            </w:pPr>
            <w:r>
              <w:rPr>
                <w:rFonts w:hint="eastAsia" w:eastAsia="宋体" w:cs="Times New Roman"/>
                <w:color w:val="auto"/>
              </w:rPr>
              <w:t>4</w:t>
            </w:r>
          </w:p>
        </w:tc>
        <w:tc>
          <w:tcPr>
            <w:tcW w:w="4566" w:type="pct"/>
            <w:noWrap w:val="0"/>
            <w:vAlign w:val="top"/>
          </w:tcPr>
          <w:p w14:paraId="61F177F1">
            <w:pPr>
              <w:pStyle w:val="61"/>
              <w:spacing w:line="240" w:lineRule="auto"/>
              <w:jc w:val="left"/>
              <w:rPr>
                <w:rFonts w:hint="eastAsia" w:eastAsia="宋体" w:cs="Times New Roman"/>
                <w:color w:val="auto"/>
              </w:rPr>
            </w:pPr>
            <w:r>
              <w:rPr>
                <w:rFonts w:hint="eastAsia" w:eastAsia="宋体" w:cs="Times New Roman"/>
                <w:color w:val="auto"/>
              </w:rPr>
              <w:t>落地灰回收过筛后，用于找平层、地坪施工；灰头用于室外散水、景观小品、道路等基础的换填处理。</w:t>
            </w:r>
          </w:p>
        </w:tc>
      </w:tr>
      <w:tr w14:paraId="0C2D85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3D4FC31B">
            <w:pPr>
              <w:pStyle w:val="61"/>
              <w:spacing w:line="240" w:lineRule="auto"/>
              <w:rPr>
                <w:rFonts w:hint="eastAsia" w:eastAsia="宋体" w:cs="Times New Roman"/>
                <w:color w:val="auto"/>
              </w:rPr>
            </w:pPr>
            <w:r>
              <w:rPr>
                <w:rFonts w:hint="eastAsia" w:eastAsia="宋体" w:cs="Times New Roman"/>
                <w:color w:val="auto"/>
              </w:rPr>
              <w:t>5</w:t>
            </w:r>
          </w:p>
        </w:tc>
        <w:tc>
          <w:tcPr>
            <w:tcW w:w="4566" w:type="pct"/>
            <w:noWrap w:val="0"/>
            <w:vAlign w:val="top"/>
          </w:tcPr>
          <w:p w14:paraId="2B3F49AF">
            <w:pPr>
              <w:pStyle w:val="61"/>
              <w:spacing w:line="240" w:lineRule="auto"/>
              <w:jc w:val="left"/>
              <w:rPr>
                <w:rFonts w:hint="eastAsia" w:eastAsia="宋体" w:cs="Times New Roman"/>
                <w:color w:val="auto"/>
              </w:rPr>
            </w:pPr>
            <w:r>
              <w:rPr>
                <w:rFonts w:hint="eastAsia" w:eastAsia="宋体" w:cs="Times New Roman"/>
                <w:color w:val="auto"/>
              </w:rPr>
              <w:t>现场0.3×1.0m大小尺寸以上的废模板、长于0.5m的木方，用于之字形爬梯踏步和楼层洞口的硬质防护；小尺寸废模板、木方由专业回收单位回收。</w:t>
            </w:r>
          </w:p>
        </w:tc>
      </w:tr>
      <w:tr w14:paraId="02D6CB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11CA103A">
            <w:pPr>
              <w:pStyle w:val="61"/>
              <w:spacing w:line="240" w:lineRule="auto"/>
              <w:rPr>
                <w:rFonts w:hint="eastAsia" w:eastAsia="宋体" w:cs="Times New Roman"/>
                <w:color w:val="auto"/>
              </w:rPr>
            </w:pPr>
            <w:r>
              <w:rPr>
                <w:rFonts w:hint="eastAsia" w:eastAsia="宋体" w:cs="Times New Roman"/>
                <w:color w:val="auto"/>
              </w:rPr>
              <w:t>6</w:t>
            </w:r>
          </w:p>
        </w:tc>
        <w:tc>
          <w:tcPr>
            <w:tcW w:w="4566" w:type="pct"/>
            <w:noWrap w:val="0"/>
            <w:vAlign w:val="top"/>
          </w:tcPr>
          <w:p w14:paraId="4D32A201">
            <w:pPr>
              <w:pStyle w:val="61"/>
              <w:spacing w:line="240" w:lineRule="auto"/>
              <w:jc w:val="left"/>
              <w:rPr>
                <w:rFonts w:hint="eastAsia" w:eastAsia="宋体" w:cs="Times New Roman"/>
                <w:color w:val="auto"/>
              </w:rPr>
            </w:pPr>
            <w:r>
              <w:rPr>
                <w:rFonts w:hint="eastAsia" w:eastAsia="宋体" w:cs="Times New Roman"/>
                <w:color w:val="auto"/>
              </w:rPr>
              <w:t>办公区、生活区及施工现场通道内均按照“可回收”、“不可回收”、“有害物质”三种形式设置密封垃圾桶；场区西北角设置封闭式垃圾站，分为建筑垃圾和生活垃圾两大类分开收集、管理。</w:t>
            </w:r>
          </w:p>
        </w:tc>
      </w:tr>
      <w:tr w14:paraId="79A837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08EBD5CB">
            <w:pPr>
              <w:pStyle w:val="61"/>
              <w:spacing w:line="240" w:lineRule="auto"/>
              <w:rPr>
                <w:rFonts w:hint="eastAsia" w:eastAsia="宋体" w:cs="Times New Roman"/>
                <w:color w:val="auto"/>
              </w:rPr>
            </w:pPr>
            <w:r>
              <w:rPr>
                <w:rFonts w:hint="eastAsia" w:eastAsia="宋体" w:cs="Times New Roman"/>
                <w:color w:val="auto"/>
              </w:rPr>
              <w:t>7</w:t>
            </w:r>
          </w:p>
        </w:tc>
        <w:tc>
          <w:tcPr>
            <w:tcW w:w="4566" w:type="pct"/>
            <w:noWrap w:val="0"/>
            <w:vAlign w:val="top"/>
          </w:tcPr>
          <w:p w14:paraId="317499E0">
            <w:pPr>
              <w:pStyle w:val="61"/>
              <w:spacing w:line="240" w:lineRule="auto"/>
              <w:jc w:val="left"/>
              <w:rPr>
                <w:rFonts w:hint="eastAsia" w:eastAsia="宋体" w:cs="Times New Roman"/>
                <w:color w:val="auto"/>
              </w:rPr>
            </w:pPr>
            <w:r>
              <w:rPr>
                <w:rFonts w:hint="eastAsia" w:eastAsia="宋体" w:cs="Times New Roman"/>
                <w:color w:val="auto"/>
              </w:rPr>
              <w:t>在现场建筑垃圾回收站旁，建简易的固体垃圾加工处理车间，对固体垃圾进行除有机质、破碎处理，然后归堆放置，以备使用。</w:t>
            </w:r>
          </w:p>
        </w:tc>
      </w:tr>
      <w:tr w14:paraId="4A34CE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33" w:type="pct"/>
            <w:noWrap w:val="0"/>
            <w:vAlign w:val="center"/>
          </w:tcPr>
          <w:p w14:paraId="0936EDA0">
            <w:pPr>
              <w:pStyle w:val="61"/>
              <w:spacing w:line="240" w:lineRule="auto"/>
              <w:rPr>
                <w:rFonts w:hint="eastAsia" w:eastAsia="宋体" w:cs="Times New Roman"/>
                <w:color w:val="auto"/>
              </w:rPr>
            </w:pPr>
            <w:r>
              <w:rPr>
                <w:rFonts w:hint="eastAsia" w:eastAsia="宋体" w:cs="Times New Roman"/>
                <w:color w:val="auto"/>
              </w:rPr>
              <w:t>8</w:t>
            </w:r>
          </w:p>
        </w:tc>
        <w:tc>
          <w:tcPr>
            <w:tcW w:w="4566" w:type="pct"/>
            <w:noWrap w:val="0"/>
            <w:vAlign w:val="top"/>
          </w:tcPr>
          <w:p w14:paraId="045C2E22">
            <w:pPr>
              <w:pStyle w:val="61"/>
              <w:spacing w:line="240" w:lineRule="auto"/>
              <w:jc w:val="left"/>
              <w:rPr>
                <w:rFonts w:hint="eastAsia" w:eastAsia="宋体" w:cs="Times New Roman"/>
                <w:color w:val="auto"/>
              </w:rPr>
            </w:pPr>
            <w:r>
              <w:rPr>
                <w:rFonts w:hint="eastAsia" w:eastAsia="宋体" w:cs="Times New Roman"/>
                <w:color w:val="auto"/>
              </w:rPr>
              <w:t>加强建筑垃圾的回收再利用，力争建筑垃圾的再利用和回收率达到30%，建筑物拆除产生的废弃物的再利用和回收率大于40%。对于碎石类、土石方类建筑垃圾，可采用地基填埋、铺路等方式提高再利用率，力争再利用率大于50%。</w:t>
            </w:r>
          </w:p>
        </w:tc>
      </w:tr>
    </w:tbl>
    <w:p w14:paraId="6756E1EC">
      <w:pPr>
        <w:ind w:firstLine="480"/>
        <w:rPr>
          <w:rFonts w:hint="eastAsia" w:ascii="宋体" w:hAnsi="宋体" w:eastAsia="宋体" w:cs="Times New Roman"/>
          <w:color w:val="auto"/>
        </w:rPr>
      </w:pPr>
      <w:r>
        <w:rPr>
          <w:rFonts w:hint="eastAsia" w:ascii="宋体" w:hAnsi="宋体" w:eastAsia="宋体" w:cs="Times New Roman"/>
          <w:color w:val="auto"/>
        </w:rPr>
        <w:t>2、节材与材料资源利用技术措施</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904"/>
        <w:gridCol w:w="838"/>
        <w:gridCol w:w="7544"/>
      </w:tblGrid>
      <w:tr w14:paraId="7068C8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87" w:type="pct"/>
            <w:noWrap w:val="0"/>
            <w:vAlign w:val="center"/>
          </w:tcPr>
          <w:p w14:paraId="6F7F8BA5">
            <w:pPr>
              <w:pStyle w:val="61"/>
              <w:spacing w:line="240" w:lineRule="auto"/>
              <w:rPr>
                <w:rFonts w:eastAsia="宋体" w:cs="Times New Roman"/>
                <w:color w:val="auto"/>
              </w:rPr>
            </w:pPr>
            <w:r>
              <w:rPr>
                <w:rFonts w:hint="eastAsia" w:eastAsia="宋体" w:cs="Times New Roman"/>
                <w:color w:val="auto"/>
              </w:rPr>
              <w:t>序号</w:t>
            </w:r>
          </w:p>
        </w:tc>
        <w:tc>
          <w:tcPr>
            <w:tcW w:w="451" w:type="pct"/>
            <w:noWrap w:val="0"/>
            <w:vAlign w:val="center"/>
          </w:tcPr>
          <w:p w14:paraId="65ED3517">
            <w:pPr>
              <w:pStyle w:val="61"/>
              <w:spacing w:line="240" w:lineRule="auto"/>
              <w:rPr>
                <w:rFonts w:eastAsia="宋体" w:cs="Times New Roman"/>
                <w:color w:val="auto"/>
              </w:rPr>
            </w:pPr>
            <w:r>
              <w:rPr>
                <w:rFonts w:hint="eastAsia" w:eastAsia="宋体" w:cs="Times New Roman"/>
                <w:color w:val="auto"/>
              </w:rPr>
              <w:t>名称</w:t>
            </w:r>
          </w:p>
        </w:tc>
        <w:tc>
          <w:tcPr>
            <w:tcW w:w="4061" w:type="pct"/>
            <w:noWrap w:val="0"/>
            <w:vAlign w:val="top"/>
          </w:tcPr>
          <w:p w14:paraId="2807FC0A">
            <w:pPr>
              <w:pStyle w:val="61"/>
              <w:spacing w:line="240" w:lineRule="auto"/>
              <w:rPr>
                <w:rFonts w:eastAsia="宋体" w:cs="Times New Roman"/>
                <w:color w:val="auto"/>
              </w:rPr>
            </w:pPr>
            <w:r>
              <w:rPr>
                <w:rFonts w:hint="eastAsia" w:eastAsia="宋体" w:cs="Times New Roman"/>
                <w:color w:val="auto"/>
              </w:rPr>
              <w:t>内容</w:t>
            </w:r>
          </w:p>
        </w:tc>
      </w:tr>
      <w:tr w14:paraId="493F9E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87" w:type="pct"/>
            <w:noWrap w:val="0"/>
            <w:vAlign w:val="center"/>
          </w:tcPr>
          <w:p w14:paraId="2183A01A">
            <w:pPr>
              <w:pStyle w:val="61"/>
              <w:spacing w:line="240" w:lineRule="auto"/>
              <w:rPr>
                <w:rFonts w:eastAsia="宋体" w:cs="Times New Roman"/>
                <w:color w:val="auto"/>
              </w:rPr>
            </w:pPr>
            <w:r>
              <w:rPr>
                <w:rFonts w:eastAsia="宋体" w:cs="Times New Roman"/>
                <w:color w:val="auto"/>
              </w:rPr>
              <w:t>1</w:t>
            </w:r>
          </w:p>
        </w:tc>
        <w:tc>
          <w:tcPr>
            <w:tcW w:w="451" w:type="pct"/>
            <w:noWrap w:val="0"/>
            <w:vAlign w:val="center"/>
          </w:tcPr>
          <w:p w14:paraId="4DACB1B8">
            <w:pPr>
              <w:pStyle w:val="61"/>
              <w:spacing w:line="240" w:lineRule="auto"/>
              <w:rPr>
                <w:rFonts w:eastAsia="宋体" w:cs="Times New Roman"/>
                <w:color w:val="auto"/>
              </w:rPr>
            </w:pPr>
            <w:r>
              <w:rPr>
                <w:rFonts w:hint="eastAsia" w:eastAsia="宋体" w:cs="Times New Roman"/>
                <w:color w:val="auto"/>
              </w:rPr>
              <w:t>节材措施</w:t>
            </w:r>
          </w:p>
        </w:tc>
        <w:tc>
          <w:tcPr>
            <w:tcW w:w="4061" w:type="pct"/>
            <w:noWrap w:val="0"/>
            <w:vAlign w:val="top"/>
          </w:tcPr>
          <w:p w14:paraId="7C13F6C3">
            <w:pPr>
              <w:pStyle w:val="61"/>
              <w:spacing w:line="240" w:lineRule="auto"/>
              <w:jc w:val="left"/>
              <w:rPr>
                <w:rFonts w:eastAsia="宋体" w:cs="Times New Roman"/>
                <w:color w:val="auto"/>
              </w:rPr>
            </w:pPr>
            <w:r>
              <w:rPr>
                <w:rFonts w:hint="eastAsia" w:eastAsia="宋体" w:cs="Times New Roman"/>
                <w:color w:val="auto"/>
              </w:rPr>
              <w:t>图纸会审时，应审核节材与材料资源利用的相关内容，达到材料损耗率比定额损耗率降低</w:t>
            </w:r>
            <w:r>
              <w:rPr>
                <w:rFonts w:eastAsia="宋体" w:cs="Times New Roman"/>
                <w:color w:val="auto"/>
              </w:rPr>
              <w:t>30%</w:t>
            </w:r>
            <w:r>
              <w:rPr>
                <w:rFonts w:hint="eastAsia" w:eastAsia="宋体" w:cs="Times New Roman"/>
                <w:color w:val="auto"/>
              </w:rPr>
              <w:t>。</w:t>
            </w:r>
          </w:p>
          <w:p w14:paraId="51885C51">
            <w:pPr>
              <w:pStyle w:val="61"/>
              <w:spacing w:line="240" w:lineRule="auto"/>
              <w:jc w:val="left"/>
              <w:rPr>
                <w:rFonts w:eastAsia="宋体" w:cs="Times New Roman"/>
                <w:color w:val="auto"/>
              </w:rPr>
            </w:pPr>
            <w:r>
              <w:rPr>
                <w:rFonts w:hint="eastAsia" w:eastAsia="宋体" w:cs="Times New Roman"/>
                <w:color w:val="auto"/>
              </w:rPr>
              <w:t>根据施工进度、库存情况等合理安排材料的采购、进场时间和批次，减少库存。</w:t>
            </w:r>
          </w:p>
          <w:p w14:paraId="3307B497">
            <w:pPr>
              <w:pStyle w:val="61"/>
              <w:spacing w:line="240" w:lineRule="auto"/>
              <w:jc w:val="left"/>
              <w:rPr>
                <w:rFonts w:eastAsia="宋体" w:cs="Times New Roman"/>
                <w:color w:val="auto"/>
              </w:rPr>
            </w:pPr>
            <w:r>
              <w:rPr>
                <w:rFonts w:hint="eastAsia" w:eastAsia="宋体" w:cs="Times New Roman"/>
                <w:color w:val="auto"/>
              </w:rPr>
              <w:t>现场材料堆放有序。储存环境适宜，措施得当。保管制度健全，责任落实。</w:t>
            </w:r>
          </w:p>
          <w:p w14:paraId="0B71CF5F">
            <w:pPr>
              <w:pStyle w:val="61"/>
              <w:spacing w:line="240" w:lineRule="auto"/>
              <w:jc w:val="left"/>
              <w:rPr>
                <w:rFonts w:eastAsia="宋体" w:cs="Times New Roman"/>
                <w:color w:val="auto"/>
              </w:rPr>
            </w:pPr>
            <w:r>
              <w:rPr>
                <w:rFonts w:hint="eastAsia" w:eastAsia="宋体" w:cs="Times New Roman"/>
                <w:color w:val="auto"/>
              </w:rPr>
              <w:t>材料运输工具适宜，装卸方法得当，防止损坏和遗洒。根据现场平面布置情况就近卸载，避免和减少二次搬运。</w:t>
            </w:r>
          </w:p>
          <w:p w14:paraId="3322F921">
            <w:pPr>
              <w:pStyle w:val="61"/>
              <w:spacing w:line="240" w:lineRule="auto"/>
              <w:jc w:val="left"/>
              <w:rPr>
                <w:rFonts w:eastAsia="宋体" w:cs="Times New Roman"/>
                <w:color w:val="auto"/>
              </w:rPr>
            </w:pPr>
            <w:r>
              <w:rPr>
                <w:rFonts w:hint="eastAsia" w:eastAsia="宋体" w:cs="Times New Roman"/>
                <w:color w:val="auto"/>
              </w:rPr>
              <w:t>采取技术和管理措施提高模板、脚手架等的周转次数。</w:t>
            </w:r>
          </w:p>
          <w:p w14:paraId="5F22DDA9">
            <w:pPr>
              <w:pStyle w:val="61"/>
              <w:spacing w:line="240" w:lineRule="auto"/>
              <w:jc w:val="left"/>
              <w:rPr>
                <w:rFonts w:eastAsia="宋体" w:cs="Times New Roman"/>
                <w:color w:val="auto"/>
              </w:rPr>
            </w:pPr>
            <w:r>
              <w:rPr>
                <w:rFonts w:hint="eastAsia" w:eastAsia="宋体" w:cs="Times New Roman"/>
                <w:color w:val="auto"/>
              </w:rPr>
              <w:t>优化安装工程的预留、预埋、管线路径等方案。</w:t>
            </w:r>
          </w:p>
          <w:p w14:paraId="0A79081B">
            <w:pPr>
              <w:pStyle w:val="61"/>
              <w:spacing w:line="240" w:lineRule="auto"/>
              <w:jc w:val="left"/>
              <w:rPr>
                <w:rFonts w:eastAsia="宋体" w:cs="Times New Roman"/>
                <w:color w:val="auto"/>
              </w:rPr>
            </w:pPr>
            <w:r>
              <w:rPr>
                <w:rFonts w:hint="eastAsia" w:eastAsia="宋体" w:cs="Times New Roman"/>
                <w:color w:val="auto"/>
              </w:rPr>
              <w:t>应就地取材，施工现场</w:t>
            </w:r>
            <w:r>
              <w:rPr>
                <w:rFonts w:eastAsia="宋体" w:cs="Times New Roman"/>
                <w:color w:val="auto"/>
              </w:rPr>
              <w:t>500</w:t>
            </w:r>
            <w:r>
              <w:rPr>
                <w:rFonts w:hint="eastAsia" w:eastAsia="宋体" w:cs="Times New Roman"/>
                <w:color w:val="auto"/>
              </w:rPr>
              <w:t>公里以内生产的建筑材料用量占建筑材料总重量的</w:t>
            </w:r>
            <w:r>
              <w:rPr>
                <w:rFonts w:eastAsia="宋体" w:cs="Times New Roman"/>
                <w:color w:val="auto"/>
              </w:rPr>
              <w:t>70</w:t>
            </w:r>
            <w:r>
              <w:rPr>
                <w:rFonts w:hint="eastAsia" w:eastAsia="宋体" w:cs="Times New Roman"/>
                <w:color w:val="auto"/>
              </w:rPr>
              <w:t>％以上。</w:t>
            </w:r>
          </w:p>
        </w:tc>
      </w:tr>
      <w:tr w14:paraId="2BC240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87" w:type="pct"/>
            <w:noWrap w:val="0"/>
            <w:vAlign w:val="center"/>
          </w:tcPr>
          <w:p w14:paraId="7621BB32">
            <w:pPr>
              <w:pStyle w:val="61"/>
              <w:spacing w:line="240" w:lineRule="auto"/>
              <w:rPr>
                <w:rFonts w:eastAsia="宋体" w:cs="Times New Roman"/>
                <w:color w:val="auto"/>
              </w:rPr>
            </w:pPr>
            <w:r>
              <w:rPr>
                <w:rFonts w:eastAsia="宋体" w:cs="Times New Roman"/>
                <w:color w:val="auto"/>
              </w:rPr>
              <w:t>2</w:t>
            </w:r>
          </w:p>
        </w:tc>
        <w:tc>
          <w:tcPr>
            <w:tcW w:w="451" w:type="pct"/>
            <w:noWrap w:val="0"/>
            <w:vAlign w:val="center"/>
          </w:tcPr>
          <w:p w14:paraId="2FFE2F87">
            <w:pPr>
              <w:pStyle w:val="61"/>
              <w:spacing w:line="240" w:lineRule="auto"/>
              <w:rPr>
                <w:rFonts w:eastAsia="宋体" w:cs="Times New Roman"/>
                <w:color w:val="auto"/>
              </w:rPr>
            </w:pPr>
            <w:r>
              <w:rPr>
                <w:rFonts w:hint="eastAsia" w:eastAsia="宋体" w:cs="Times New Roman"/>
                <w:color w:val="auto"/>
              </w:rPr>
              <w:t>结构材料</w:t>
            </w:r>
          </w:p>
        </w:tc>
        <w:tc>
          <w:tcPr>
            <w:tcW w:w="4061" w:type="pct"/>
            <w:noWrap w:val="0"/>
            <w:vAlign w:val="top"/>
          </w:tcPr>
          <w:p w14:paraId="6B1E1734">
            <w:pPr>
              <w:pStyle w:val="61"/>
              <w:spacing w:line="240" w:lineRule="auto"/>
              <w:jc w:val="left"/>
              <w:rPr>
                <w:rFonts w:eastAsia="宋体" w:cs="Times New Roman"/>
                <w:color w:val="auto"/>
              </w:rPr>
            </w:pPr>
            <w:r>
              <w:rPr>
                <w:rFonts w:hint="eastAsia" w:eastAsia="宋体" w:cs="Times New Roman"/>
                <w:color w:val="auto"/>
              </w:rPr>
              <w:t>推广使用预拌混凝土和商品砂浆。准确计算采购数量、供应频率、施工速度等，在施工过程中动态控制。</w:t>
            </w:r>
          </w:p>
          <w:p w14:paraId="3F32BEB1">
            <w:pPr>
              <w:pStyle w:val="61"/>
              <w:spacing w:line="240" w:lineRule="auto"/>
              <w:jc w:val="left"/>
              <w:rPr>
                <w:rFonts w:eastAsia="宋体" w:cs="Times New Roman"/>
                <w:color w:val="auto"/>
              </w:rPr>
            </w:pPr>
            <w:r>
              <w:rPr>
                <w:rFonts w:hint="eastAsia" w:eastAsia="宋体" w:cs="Times New Roman"/>
                <w:color w:val="auto"/>
              </w:rPr>
              <w:t>优化钢筋配料及其下料方案。钢筋制作前应对下料单及样品进行复核，无误后方可批量下料。</w:t>
            </w:r>
          </w:p>
          <w:p w14:paraId="07343DF6">
            <w:pPr>
              <w:pStyle w:val="61"/>
              <w:spacing w:line="240" w:lineRule="auto"/>
              <w:jc w:val="left"/>
              <w:rPr>
                <w:rFonts w:eastAsia="宋体" w:cs="Times New Roman"/>
                <w:color w:val="auto"/>
              </w:rPr>
            </w:pPr>
            <w:r>
              <w:rPr>
                <w:rFonts w:hint="eastAsia" w:eastAsia="宋体" w:cs="Times New Roman"/>
                <w:color w:val="auto"/>
              </w:rPr>
              <w:t>采取数字化技术，对大体积混凝土、大跨度结构等专项施工方案进行优化。</w:t>
            </w:r>
          </w:p>
        </w:tc>
      </w:tr>
      <w:tr w14:paraId="113D03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87" w:type="pct"/>
            <w:noWrap w:val="0"/>
            <w:vAlign w:val="center"/>
          </w:tcPr>
          <w:p w14:paraId="292B0120">
            <w:pPr>
              <w:pStyle w:val="61"/>
              <w:spacing w:line="240" w:lineRule="auto"/>
              <w:rPr>
                <w:rFonts w:eastAsia="宋体" w:cs="Times New Roman"/>
                <w:color w:val="auto"/>
              </w:rPr>
            </w:pPr>
            <w:r>
              <w:rPr>
                <w:rFonts w:eastAsia="宋体" w:cs="Times New Roman"/>
                <w:color w:val="auto"/>
              </w:rPr>
              <w:t>3</w:t>
            </w:r>
          </w:p>
        </w:tc>
        <w:tc>
          <w:tcPr>
            <w:tcW w:w="451" w:type="pct"/>
            <w:noWrap w:val="0"/>
            <w:vAlign w:val="center"/>
          </w:tcPr>
          <w:p w14:paraId="18B2B78A">
            <w:pPr>
              <w:pStyle w:val="61"/>
              <w:spacing w:line="240" w:lineRule="auto"/>
              <w:rPr>
                <w:rFonts w:eastAsia="宋体" w:cs="Times New Roman"/>
                <w:color w:val="auto"/>
              </w:rPr>
            </w:pPr>
            <w:r>
              <w:rPr>
                <w:rFonts w:hint="eastAsia" w:eastAsia="宋体" w:cs="Times New Roman"/>
                <w:color w:val="auto"/>
              </w:rPr>
              <w:t>装饰装修材料</w:t>
            </w:r>
          </w:p>
        </w:tc>
        <w:tc>
          <w:tcPr>
            <w:tcW w:w="4061" w:type="pct"/>
            <w:noWrap w:val="0"/>
            <w:vAlign w:val="top"/>
          </w:tcPr>
          <w:p w14:paraId="75FFBD30">
            <w:pPr>
              <w:pStyle w:val="61"/>
              <w:spacing w:line="240" w:lineRule="auto"/>
              <w:jc w:val="left"/>
              <w:rPr>
                <w:rFonts w:eastAsia="宋体" w:cs="Times New Roman"/>
                <w:color w:val="auto"/>
              </w:rPr>
            </w:pPr>
            <w:r>
              <w:rPr>
                <w:rFonts w:hint="eastAsia" w:eastAsia="宋体" w:cs="Times New Roman"/>
                <w:color w:val="auto"/>
              </w:rPr>
              <w:t>贴面类材料在施工前，应进行总体排版策划，减少非整块材的数量。</w:t>
            </w:r>
          </w:p>
          <w:p w14:paraId="5F0EA062">
            <w:pPr>
              <w:pStyle w:val="61"/>
              <w:spacing w:line="240" w:lineRule="auto"/>
              <w:jc w:val="left"/>
              <w:rPr>
                <w:rFonts w:eastAsia="宋体" w:cs="Times New Roman"/>
                <w:color w:val="auto"/>
              </w:rPr>
            </w:pPr>
            <w:r>
              <w:rPr>
                <w:rFonts w:hint="eastAsia" w:eastAsia="宋体" w:cs="Times New Roman"/>
                <w:color w:val="auto"/>
              </w:rPr>
              <w:t>防水卷材、壁纸、油漆及各类涂料基层必须符合要求，避免起皮、脱落。各类油漆及粘结剂应随用随开启，不用时及时封闭。</w:t>
            </w:r>
          </w:p>
          <w:p w14:paraId="6F100C93">
            <w:pPr>
              <w:pStyle w:val="61"/>
              <w:spacing w:line="240" w:lineRule="auto"/>
              <w:jc w:val="left"/>
              <w:rPr>
                <w:rFonts w:eastAsia="宋体" w:cs="Times New Roman"/>
                <w:color w:val="auto"/>
              </w:rPr>
            </w:pPr>
            <w:r>
              <w:rPr>
                <w:rFonts w:hint="eastAsia" w:eastAsia="宋体" w:cs="Times New Roman"/>
                <w:color w:val="auto"/>
              </w:rPr>
              <w:t>外檐及各类预留预埋应与结构施工同步。</w:t>
            </w:r>
          </w:p>
          <w:p w14:paraId="64E4CFB8">
            <w:pPr>
              <w:pStyle w:val="61"/>
              <w:spacing w:line="240" w:lineRule="auto"/>
              <w:jc w:val="left"/>
              <w:rPr>
                <w:rFonts w:eastAsia="宋体" w:cs="Times New Roman"/>
                <w:color w:val="auto"/>
              </w:rPr>
            </w:pPr>
            <w:r>
              <w:rPr>
                <w:rFonts w:hint="eastAsia" w:eastAsia="宋体" w:cs="Times New Roman"/>
                <w:color w:val="auto"/>
              </w:rPr>
              <w:t>木制品及木装饰用料、玻璃等各类板材等宜在工厂采购或定制。</w:t>
            </w:r>
          </w:p>
          <w:p w14:paraId="60B51687">
            <w:pPr>
              <w:pStyle w:val="61"/>
              <w:spacing w:line="240" w:lineRule="auto"/>
              <w:jc w:val="left"/>
              <w:rPr>
                <w:rFonts w:eastAsia="宋体" w:cs="Times New Roman"/>
                <w:color w:val="auto"/>
              </w:rPr>
            </w:pPr>
            <w:r>
              <w:rPr>
                <w:rFonts w:hint="eastAsia" w:eastAsia="宋体" w:cs="Times New Roman"/>
                <w:color w:val="auto"/>
              </w:rPr>
              <w:t>采用自粘类片材，减少现场液态粘结剂的使用量。</w:t>
            </w:r>
          </w:p>
        </w:tc>
      </w:tr>
      <w:tr w14:paraId="623016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87" w:type="pct"/>
            <w:noWrap w:val="0"/>
            <w:vAlign w:val="center"/>
          </w:tcPr>
          <w:p w14:paraId="5E0EE85F">
            <w:pPr>
              <w:pStyle w:val="61"/>
              <w:spacing w:line="240" w:lineRule="auto"/>
              <w:rPr>
                <w:rFonts w:eastAsia="宋体" w:cs="Times New Roman"/>
                <w:color w:val="auto"/>
              </w:rPr>
            </w:pPr>
            <w:r>
              <w:rPr>
                <w:rFonts w:eastAsia="宋体" w:cs="Times New Roman"/>
                <w:color w:val="auto"/>
              </w:rPr>
              <w:t>4</w:t>
            </w:r>
          </w:p>
        </w:tc>
        <w:tc>
          <w:tcPr>
            <w:tcW w:w="451" w:type="pct"/>
            <w:noWrap w:val="0"/>
            <w:vAlign w:val="center"/>
          </w:tcPr>
          <w:p w14:paraId="315EEB9F">
            <w:pPr>
              <w:pStyle w:val="61"/>
              <w:spacing w:line="240" w:lineRule="auto"/>
              <w:rPr>
                <w:rFonts w:eastAsia="宋体" w:cs="Times New Roman"/>
                <w:color w:val="auto"/>
              </w:rPr>
            </w:pPr>
            <w:r>
              <w:rPr>
                <w:rFonts w:hint="eastAsia" w:eastAsia="宋体" w:cs="Times New Roman"/>
                <w:color w:val="auto"/>
              </w:rPr>
              <w:t>周转材料</w:t>
            </w:r>
          </w:p>
        </w:tc>
        <w:tc>
          <w:tcPr>
            <w:tcW w:w="4061" w:type="pct"/>
            <w:noWrap w:val="0"/>
            <w:vAlign w:val="top"/>
          </w:tcPr>
          <w:p w14:paraId="41CBCDEE">
            <w:pPr>
              <w:pStyle w:val="61"/>
              <w:spacing w:line="240" w:lineRule="auto"/>
              <w:jc w:val="left"/>
              <w:rPr>
                <w:rFonts w:eastAsia="宋体" w:cs="Times New Roman"/>
                <w:color w:val="auto"/>
              </w:rPr>
            </w:pPr>
            <w:r>
              <w:rPr>
                <w:rFonts w:hint="eastAsia" w:eastAsia="宋体" w:cs="Times New Roman"/>
                <w:color w:val="auto"/>
              </w:rPr>
              <w:t>选用耐用、维护与拆卸方便的周转材料和机具。</w:t>
            </w:r>
          </w:p>
          <w:p w14:paraId="3A2F0CC6">
            <w:pPr>
              <w:pStyle w:val="61"/>
              <w:spacing w:line="240" w:lineRule="auto"/>
              <w:jc w:val="left"/>
              <w:rPr>
                <w:rFonts w:eastAsia="宋体" w:cs="Times New Roman"/>
                <w:color w:val="auto"/>
              </w:rPr>
            </w:pPr>
            <w:r>
              <w:rPr>
                <w:rFonts w:hint="eastAsia" w:eastAsia="宋体" w:cs="Times New Roman"/>
                <w:color w:val="auto"/>
              </w:rPr>
              <w:t>优先选用制作、安装、拆除一体化的专业队伍进行模板工程施工。</w:t>
            </w:r>
          </w:p>
          <w:p w14:paraId="7173422D">
            <w:pPr>
              <w:pStyle w:val="61"/>
              <w:spacing w:line="240" w:lineRule="auto"/>
              <w:jc w:val="left"/>
              <w:rPr>
                <w:rFonts w:eastAsia="宋体" w:cs="Times New Roman"/>
                <w:color w:val="auto"/>
              </w:rPr>
            </w:pPr>
            <w:r>
              <w:rPr>
                <w:rFonts w:hint="eastAsia" w:eastAsia="宋体" w:cs="Times New Roman"/>
                <w:color w:val="auto"/>
              </w:rPr>
              <w:t>施工前应对模板工程的方案进行优化。本工程使用可重复利用的模板体系，模板支撑宜采用工具式支撑。</w:t>
            </w:r>
          </w:p>
          <w:p w14:paraId="2B3A8CF9">
            <w:pPr>
              <w:pStyle w:val="61"/>
              <w:spacing w:line="240" w:lineRule="auto"/>
              <w:jc w:val="left"/>
              <w:rPr>
                <w:rFonts w:eastAsia="宋体" w:cs="Times New Roman"/>
                <w:color w:val="auto"/>
              </w:rPr>
            </w:pPr>
            <w:r>
              <w:rPr>
                <w:rFonts w:hint="eastAsia" w:eastAsia="宋体" w:cs="Times New Roman"/>
                <w:color w:val="auto"/>
              </w:rPr>
              <w:t>现场办公和生活用房采用周转式活动房。现场围挡应最大限度地利用已有围墙，或采用装配式可重复使用围挡封闭。力争工地临房、临时围挡材料的可重复使用率达到</w:t>
            </w:r>
            <w:r>
              <w:rPr>
                <w:rFonts w:eastAsia="宋体" w:cs="Times New Roman"/>
                <w:color w:val="auto"/>
              </w:rPr>
              <w:t>70</w:t>
            </w:r>
            <w:r>
              <w:rPr>
                <w:rFonts w:hint="eastAsia" w:eastAsia="宋体" w:cs="Times New Roman"/>
                <w:color w:val="auto"/>
              </w:rPr>
              <w:t>％。</w:t>
            </w:r>
          </w:p>
        </w:tc>
      </w:tr>
    </w:tbl>
    <w:p w14:paraId="79936FE7">
      <w:pPr>
        <w:ind w:firstLine="480"/>
        <w:rPr>
          <w:rFonts w:hint="eastAsia" w:ascii="宋体" w:hAnsi="宋体" w:eastAsia="宋体" w:cs="Times New Roman"/>
          <w:color w:val="auto"/>
        </w:rPr>
      </w:pPr>
      <w:r>
        <w:rPr>
          <w:rFonts w:hint="eastAsia" w:ascii="宋体" w:hAnsi="宋体" w:eastAsia="宋体" w:cs="Times New Roman"/>
          <w:color w:val="auto"/>
        </w:rPr>
        <w:t>3、节水与水资源利用的技术措施</w:t>
      </w:r>
    </w:p>
    <w:p w14:paraId="67DEFC38">
      <w:pPr>
        <w:ind w:firstLine="480"/>
        <w:rPr>
          <w:rFonts w:hint="eastAsia" w:ascii="宋体" w:hAnsi="宋体" w:eastAsia="宋体" w:cs="Times New Roman"/>
          <w:color w:val="auto"/>
        </w:rPr>
      </w:pPr>
      <w:r>
        <w:rPr>
          <w:rFonts w:hint="eastAsia" w:ascii="宋体" w:hAnsi="宋体" w:eastAsia="宋体" w:cs="Times New Roman"/>
          <w:color w:val="auto"/>
        </w:rPr>
        <w:t>（1）提高用水效率</w:t>
      </w:r>
    </w:p>
    <w:p w14:paraId="72BB56ED">
      <w:pPr>
        <w:ind w:firstLine="480"/>
        <w:rPr>
          <w:rFonts w:hint="eastAsia" w:ascii="宋体" w:hAnsi="宋体" w:eastAsia="宋体" w:cs="Times New Roman"/>
          <w:color w:val="auto"/>
        </w:rPr>
      </w:pPr>
      <w:r>
        <w:rPr>
          <w:rFonts w:hint="eastAsia" w:ascii="宋体" w:hAnsi="宋体" w:eastAsia="宋体" w:cs="Times New Roman"/>
          <w:color w:val="auto"/>
        </w:rPr>
        <w:t>施工中采用先进的节水施工工艺。</w:t>
      </w:r>
    </w:p>
    <w:p w14:paraId="104A16BD">
      <w:pPr>
        <w:ind w:firstLine="480"/>
        <w:rPr>
          <w:rFonts w:hint="eastAsia" w:ascii="宋体" w:hAnsi="宋体" w:eastAsia="宋体" w:cs="Times New Roman"/>
          <w:color w:val="auto"/>
        </w:rPr>
      </w:pPr>
      <w:r>
        <w:rPr>
          <w:rFonts w:hint="eastAsia" w:ascii="宋体" w:hAnsi="宋体" w:eastAsia="宋体" w:cs="Times New Roman"/>
          <w:color w:val="auto"/>
        </w:rPr>
        <w:t>施工现场喷洒路面、绿化浇灌不宜使用市政自来水。现场用水、养护用水应采取有效的节水措施，严禁无措施浇水养护混凝土。</w:t>
      </w:r>
    </w:p>
    <w:p w14:paraId="48314830">
      <w:pPr>
        <w:ind w:firstLine="480"/>
        <w:rPr>
          <w:rFonts w:hint="eastAsia" w:ascii="宋体" w:hAnsi="宋体" w:eastAsia="宋体" w:cs="Times New Roman"/>
          <w:color w:val="auto"/>
        </w:rPr>
      </w:pPr>
      <w:r>
        <w:rPr>
          <w:rFonts w:hint="eastAsia" w:ascii="宋体" w:hAnsi="宋体" w:eastAsia="宋体" w:cs="Times New Roman"/>
          <w:color w:val="auto"/>
        </w:rPr>
        <w:t>施工现场供水管网应根据用水量设计布置，管径合理、管路简捷，采取有效措施减少管网和用水器具的漏损。</w:t>
      </w:r>
    </w:p>
    <w:p w14:paraId="74BF22A8">
      <w:pPr>
        <w:ind w:firstLine="480"/>
        <w:rPr>
          <w:rFonts w:hint="eastAsia" w:ascii="宋体" w:hAnsi="宋体" w:eastAsia="宋体" w:cs="Times New Roman"/>
          <w:color w:val="auto"/>
        </w:rPr>
      </w:pPr>
      <w:r>
        <w:rPr>
          <w:rFonts w:hint="eastAsia" w:ascii="宋体" w:hAnsi="宋体" w:eastAsia="宋体" w:cs="Times New Roman"/>
          <w:color w:val="auto"/>
        </w:rPr>
        <w:t>现场机具、设备、车辆冲洗用水必须设立循环用水装置。施工现场办公区、生活区的生活用水采用节水系统和节水器具，提高节水器具配置比率。项目临时用水应使用节水型产品，安装计量装置，采取针对性的节水措施。</w:t>
      </w:r>
    </w:p>
    <w:p w14:paraId="35DBCD14">
      <w:pPr>
        <w:ind w:firstLine="480"/>
        <w:rPr>
          <w:rFonts w:hint="eastAsia" w:ascii="宋体" w:hAnsi="宋体" w:eastAsia="宋体" w:cs="Times New Roman"/>
          <w:color w:val="auto"/>
        </w:rPr>
      </w:pPr>
      <w:r>
        <w:rPr>
          <w:rFonts w:hint="eastAsia" w:ascii="宋体" w:hAnsi="宋体" w:eastAsia="宋体" w:cs="Times New Roman"/>
          <w:color w:val="auto"/>
        </w:rPr>
        <w:t>施工现场建立可再利用水的收集处理系统，使水资源得到梯级循环利用。</w:t>
      </w:r>
    </w:p>
    <w:p w14:paraId="209B812A">
      <w:pPr>
        <w:ind w:firstLine="480"/>
        <w:rPr>
          <w:rFonts w:hint="eastAsia" w:ascii="宋体" w:hAnsi="宋体" w:eastAsia="宋体" w:cs="Times New Roman"/>
          <w:color w:val="auto"/>
        </w:rPr>
      </w:pPr>
      <w:r>
        <w:rPr>
          <w:rFonts w:hint="eastAsia" w:ascii="宋体" w:hAnsi="宋体" w:eastAsia="宋体" w:cs="Times New Roman"/>
          <w:color w:val="auto"/>
        </w:rPr>
        <w:t>（2）非传统水源利用</w:t>
      </w:r>
    </w:p>
    <w:p w14:paraId="51C18692">
      <w:pPr>
        <w:ind w:firstLine="480"/>
        <w:rPr>
          <w:rFonts w:hint="eastAsia" w:ascii="宋体" w:hAnsi="宋体" w:eastAsia="宋体" w:cs="Times New Roman"/>
          <w:color w:val="auto"/>
        </w:rPr>
      </w:pPr>
      <w:r>
        <w:rPr>
          <w:rFonts w:hint="eastAsia" w:ascii="宋体" w:hAnsi="宋体" w:eastAsia="宋体" w:cs="Times New Roman"/>
          <w:color w:val="auto"/>
        </w:rPr>
        <w:t>现场机具、设备、车辆冲洗、喷洒路面、绿化浇灌等用水，优先采用非传统水源，尽量不使用市政自来水。</w:t>
      </w:r>
    </w:p>
    <w:p w14:paraId="4F0F839C">
      <w:pPr>
        <w:ind w:firstLine="480"/>
        <w:rPr>
          <w:rFonts w:hint="eastAsia" w:ascii="宋体" w:hAnsi="宋体" w:eastAsia="宋体" w:cs="Times New Roman"/>
          <w:color w:val="auto"/>
        </w:rPr>
      </w:pPr>
      <w:r>
        <w:rPr>
          <w:rFonts w:hint="eastAsia" w:ascii="宋体" w:hAnsi="宋体" w:eastAsia="宋体" w:cs="Times New Roman"/>
          <w:color w:val="auto"/>
        </w:rPr>
        <w:t>3、用水安全</w:t>
      </w:r>
    </w:p>
    <w:p w14:paraId="4D7FDDE2">
      <w:pPr>
        <w:ind w:firstLine="480"/>
        <w:rPr>
          <w:rFonts w:hint="eastAsia" w:ascii="宋体" w:hAnsi="宋体" w:eastAsia="宋体" w:cs="Times New Roman"/>
          <w:color w:val="auto"/>
        </w:rPr>
      </w:pPr>
      <w:r>
        <w:rPr>
          <w:rFonts w:hint="eastAsia" w:ascii="宋体" w:hAnsi="宋体" w:eastAsia="宋体" w:cs="Times New Roman"/>
          <w:color w:val="auto"/>
        </w:rPr>
        <w:t>在非传统水源和现场循环再利用水的使用过程中，应制定有效的水质检测与卫生保障措施，确保避免对人体健康、工程质量以及周围环境产生不良影响。</w:t>
      </w:r>
    </w:p>
    <w:p w14:paraId="24485E46">
      <w:pPr>
        <w:ind w:firstLine="480"/>
        <w:rPr>
          <w:rFonts w:hint="eastAsia" w:ascii="宋体" w:hAnsi="宋体" w:eastAsia="宋体" w:cs="Times New Roman"/>
          <w:color w:val="auto"/>
        </w:rPr>
      </w:pPr>
      <w:r>
        <w:rPr>
          <w:rFonts w:hint="eastAsia" w:ascii="宋体" w:hAnsi="宋体" w:eastAsia="宋体" w:cs="Times New Roman"/>
          <w:color w:val="auto"/>
        </w:rPr>
        <w:t>为了施工用水的可靠性和保障性，使施工生产顺利进行，项目机械工人应组织专门的管理机构加强管理；</w:t>
      </w:r>
    </w:p>
    <w:p w14:paraId="42805AB2">
      <w:pPr>
        <w:ind w:firstLine="480"/>
        <w:rPr>
          <w:rFonts w:hint="eastAsia" w:ascii="宋体" w:hAnsi="宋体" w:eastAsia="宋体" w:cs="Times New Roman"/>
          <w:color w:val="auto"/>
        </w:rPr>
      </w:pPr>
      <w:r>
        <w:rPr>
          <w:rFonts w:hint="eastAsia" w:ascii="宋体" w:hAnsi="宋体" w:eastAsia="宋体" w:cs="Times New Roman"/>
          <w:color w:val="auto"/>
        </w:rPr>
        <w:t>对进入施工现场的施工人员进行开源节流教育，阐述节约用水的重要性和必要性，使每位员工对节约能源创造效益有正确的理解和认识；</w:t>
      </w:r>
    </w:p>
    <w:p w14:paraId="27F8724A">
      <w:pPr>
        <w:ind w:firstLine="480"/>
        <w:rPr>
          <w:rFonts w:hint="eastAsia" w:ascii="宋体" w:hAnsi="宋体" w:eastAsia="宋体" w:cs="Times New Roman"/>
          <w:color w:val="auto"/>
        </w:rPr>
      </w:pPr>
      <w:r>
        <w:rPr>
          <w:rFonts w:hint="eastAsia" w:ascii="宋体" w:hAnsi="宋体" w:eastAsia="宋体" w:cs="Times New Roman"/>
          <w:color w:val="auto"/>
        </w:rPr>
        <w:t>现场水管的安装维修由专业人员进行，加强巡回检查监护，发现故障及时处理，确保生产、生活用水畅通。</w:t>
      </w:r>
    </w:p>
    <w:p w14:paraId="11082D11">
      <w:pPr>
        <w:ind w:firstLine="480"/>
        <w:rPr>
          <w:rFonts w:hint="eastAsia" w:ascii="宋体" w:hAnsi="宋体" w:eastAsia="宋体" w:cs="Times New Roman"/>
          <w:color w:val="auto"/>
        </w:rPr>
      </w:pPr>
      <w:r>
        <w:rPr>
          <w:rFonts w:hint="eastAsia" w:ascii="宋体" w:hAnsi="宋体" w:eastAsia="宋体" w:cs="Times New Roman"/>
          <w:color w:val="auto"/>
        </w:rPr>
        <w:t>4、节能与能源利用的技术措施</w:t>
      </w:r>
    </w:p>
    <w:p w14:paraId="0426611E">
      <w:pPr>
        <w:ind w:firstLine="480"/>
        <w:rPr>
          <w:rFonts w:hint="eastAsia" w:ascii="宋体" w:hAnsi="宋体" w:eastAsia="宋体" w:cs="Times New Roman"/>
          <w:color w:val="auto"/>
        </w:rPr>
      </w:pPr>
      <w:r>
        <w:rPr>
          <w:rFonts w:hint="eastAsia" w:ascii="宋体" w:hAnsi="宋体" w:eastAsia="宋体" w:cs="Times New Roman"/>
          <w:color w:val="auto"/>
        </w:rPr>
        <w:t>（1）节能措施</w:t>
      </w:r>
    </w:p>
    <w:p w14:paraId="6EEB2461">
      <w:pPr>
        <w:ind w:firstLine="480"/>
        <w:rPr>
          <w:rFonts w:hint="eastAsia" w:ascii="宋体" w:hAnsi="宋体" w:eastAsia="宋体" w:cs="Times New Roman"/>
          <w:color w:val="auto"/>
        </w:rPr>
      </w:pPr>
      <w:r>
        <w:rPr>
          <w:rFonts w:hint="eastAsia" w:ascii="宋体" w:hAnsi="宋体" w:eastAsia="宋体" w:cs="Times New Roman"/>
          <w:color w:val="auto"/>
        </w:rPr>
        <w:t>制订合理施工能耗指标，提高施工能源利用率。</w:t>
      </w:r>
    </w:p>
    <w:p w14:paraId="45D81EC4">
      <w:pPr>
        <w:ind w:firstLine="480"/>
        <w:rPr>
          <w:rFonts w:hint="eastAsia" w:ascii="宋体" w:hAnsi="宋体" w:eastAsia="宋体" w:cs="Times New Roman"/>
          <w:color w:val="auto"/>
        </w:rPr>
      </w:pPr>
      <w:r>
        <w:rPr>
          <w:rFonts w:hint="eastAsia" w:ascii="宋体" w:hAnsi="宋体" w:eastAsia="宋体" w:cs="Times New Roman"/>
          <w:color w:val="auto"/>
        </w:rPr>
        <w:t>施工现场分别设定生产、生活、办公和施工设备的用电控制指标，定期进行计量、核算、对比分析，并有预防与纠正措施。</w:t>
      </w:r>
    </w:p>
    <w:p w14:paraId="43FBE0ED">
      <w:pPr>
        <w:ind w:firstLine="480"/>
        <w:rPr>
          <w:rFonts w:hint="eastAsia" w:ascii="宋体" w:hAnsi="宋体" w:eastAsia="宋体" w:cs="Times New Roman"/>
          <w:color w:val="auto"/>
        </w:rPr>
      </w:pPr>
      <w:r>
        <w:rPr>
          <w:rFonts w:hint="eastAsia" w:ascii="宋体" w:hAnsi="宋体" w:eastAsia="宋体" w:cs="Times New Roman"/>
          <w:color w:val="auto"/>
        </w:rPr>
        <w:t>在施工组织设计中，合理安排施工顺序、工作面，以减少作业区域的机具数量，相邻作业区充分利用共有的机具资源。安排施工工艺时，应优先考虑耗用电能的或其它能耗较少的施工工艺。避免设备额定功率远大于使用功率或超负荷使用设备的现象。</w:t>
      </w:r>
    </w:p>
    <w:p w14:paraId="1F3A1032">
      <w:pPr>
        <w:ind w:firstLine="480"/>
        <w:rPr>
          <w:rFonts w:hint="eastAsia" w:ascii="宋体" w:hAnsi="宋体" w:eastAsia="宋体" w:cs="Times New Roman"/>
          <w:color w:val="auto"/>
        </w:rPr>
      </w:pPr>
      <w:r>
        <w:rPr>
          <w:rFonts w:hint="eastAsia" w:ascii="宋体" w:hAnsi="宋体" w:eastAsia="宋体" w:cs="Times New Roman"/>
          <w:color w:val="auto"/>
        </w:rPr>
        <w:t>（2）机械设备与机具</w:t>
      </w:r>
    </w:p>
    <w:p w14:paraId="4491533C">
      <w:pPr>
        <w:ind w:firstLine="480"/>
        <w:rPr>
          <w:rFonts w:hint="eastAsia" w:ascii="宋体" w:hAnsi="宋体" w:eastAsia="宋体" w:cs="Times New Roman"/>
          <w:color w:val="auto"/>
        </w:rPr>
      </w:pPr>
      <w:r>
        <w:rPr>
          <w:rFonts w:hint="eastAsia" w:ascii="宋体" w:hAnsi="宋体" w:eastAsia="宋体" w:cs="Times New Roman"/>
          <w:color w:val="auto"/>
        </w:rPr>
        <w:t>建立施工机械设备管理制度，开展用电、用油计量，完善设备档案，及时做好维修保养工作，使机械设备保持低耗、高效的状态。</w:t>
      </w:r>
    </w:p>
    <w:p w14:paraId="22C169ED">
      <w:pPr>
        <w:ind w:firstLine="480"/>
        <w:rPr>
          <w:rFonts w:hint="eastAsia" w:ascii="宋体" w:hAnsi="宋体" w:eastAsia="宋体" w:cs="Times New Roman"/>
          <w:color w:val="auto"/>
        </w:rPr>
      </w:pPr>
      <w:r>
        <w:rPr>
          <w:rFonts w:hint="eastAsia" w:ascii="宋体" w:hAnsi="宋体" w:eastAsia="宋体" w:cs="Times New Roman"/>
          <w:color w:val="auto"/>
        </w:rPr>
        <w:t>选择功率与负载相匹配的施工机械设备，避免大功率施工机械设备低负载长时间运行。机电安装可采用节电型机械设备，如逆变式电焊机和能耗低、效率高的手持电动工具等，以利节电。机械设备宜使用节能型油料添加剂，在可能的情况下，考虑回收利用，节约油量。</w:t>
      </w:r>
    </w:p>
    <w:p w14:paraId="17B0A9F4">
      <w:pPr>
        <w:ind w:firstLine="480"/>
        <w:rPr>
          <w:rFonts w:hint="eastAsia" w:ascii="宋体" w:hAnsi="宋体" w:eastAsia="宋体" w:cs="Times New Roman"/>
          <w:color w:val="auto"/>
        </w:rPr>
      </w:pPr>
      <w:r>
        <w:rPr>
          <w:rFonts w:hint="eastAsia" w:ascii="宋体" w:hAnsi="宋体" w:eastAsia="宋体" w:cs="Times New Roman"/>
          <w:color w:val="auto"/>
        </w:rPr>
        <w:t>合理安排工序，提高各种机械的使用率和满载率，降低各种设备的单位耗能。</w:t>
      </w:r>
    </w:p>
    <w:p w14:paraId="4BE19F54">
      <w:pPr>
        <w:ind w:firstLine="480"/>
        <w:rPr>
          <w:rFonts w:hint="eastAsia" w:ascii="宋体" w:hAnsi="宋体" w:eastAsia="宋体" w:cs="Times New Roman"/>
          <w:color w:val="auto"/>
        </w:rPr>
      </w:pPr>
      <w:r>
        <w:rPr>
          <w:rFonts w:hint="eastAsia" w:ascii="宋体" w:hAnsi="宋体" w:eastAsia="宋体" w:cs="Times New Roman"/>
          <w:color w:val="auto"/>
        </w:rPr>
        <w:t>（3）生产、生活及办公临时设施</w:t>
      </w:r>
    </w:p>
    <w:p w14:paraId="337E8CFF">
      <w:pPr>
        <w:ind w:firstLine="480"/>
        <w:rPr>
          <w:rFonts w:hint="eastAsia" w:ascii="宋体" w:hAnsi="宋体" w:eastAsia="宋体" w:cs="Times New Roman"/>
          <w:color w:val="auto"/>
        </w:rPr>
      </w:pPr>
      <w:r>
        <w:rPr>
          <w:rFonts w:hint="eastAsia" w:ascii="宋体" w:hAnsi="宋体" w:eastAsia="宋体" w:cs="Times New Roman"/>
          <w:color w:val="auto"/>
        </w:rPr>
        <w:t>利用场地自然条件，合理设计生产、生活及办公临时设施的体形、朝向、间距和窗墙面积比，使其获得良好的日照、通风和采光。</w:t>
      </w:r>
    </w:p>
    <w:p w14:paraId="11DC71AD">
      <w:pPr>
        <w:ind w:firstLine="480"/>
        <w:rPr>
          <w:rFonts w:hint="eastAsia" w:ascii="宋体" w:hAnsi="宋体" w:eastAsia="宋体" w:cs="Times New Roman"/>
          <w:color w:val="auto"/>
        </w:rPr>
      </w:pPr>
      <w:r>
        <w:rPr>
          <w:rFonts w:hint="eastAsia" w:ascii="宋体" w:hAnsi="宋体" w:eastAsia="宋体" w:cs="Times New Roman"/>
          <w:color w:val="auto"/>
        </w:rPr>
        <w:t>临时设施宜采用节能材料，墙体、屋面使用隔热性能好的的材料，减少夏天空调设备的使用时间及耗能量。</w:t>
      </w:r>
    </w:p>
    <w:p w14:paraId="752E9424">
      <w:pPr>
        <w:ind w:firstLine="480"/>
        <w:rPr>
          <w:rFonts w:hint="eastAsia" w:ascii="宋体" w:hAnsi="宋体" w:eastAsia="宋体" w:cs="Times New Roman"/>
          <w:color w:val="auto"/>
        </w:rPr>
      </w:pPr>
      <w:r>
        <w:rPr>
          <w:rFonts w:hint="eastAsia" w:ascii="宋体" w:hAnsi="宋体" w:eastAsia="宋体" w:cs="Times New Roman"/>
          <w:color w:val="auto"/>
        </w:rPr>
        <w:t>合理配置采暖、空调、风扇数量，规定使用时间，实行分段分时使用，节约用电。</w:t>
      </w:r>
    </w:p>
    <w:p w14:paraId="110901B4">
      <w:pPr>
        <w:ind w:firstLine="480"/>
        <w:rPr>
          <w:rFonts w:hint="eastAsia" w:ascii="宋体" w:hAnsi="宋体" w:eastAsia="宋体" w:cs="Times New Roman"/>
          <w:color w:val="auto"/>
        </w:rPr>
      </w:pPr>
      <w:r>
        <w:rPr>
          <w:rFonts w:hint="eastAsia" w:ascii="宋体" w:hAnsi="宋体" w:eastAsia="宋体" w:cs="Times New Roman"/>
          <w:color w:val="auto"/>
        </w:rPr>
        <w:t>（4）施工用电及照明</w:t>
      </w:r>
    </w:p>
    <w:p w14:paraId="3A642214">
      <w:pPr>
        <w:ind w:firstLine="480"/>
        <w:rPr>
          <w:rFonts w:hint="eastAsia" w:ascii="宋体" w:hAnsi="宋体" w:eastAsia="宋体" w:cs="Times New Roman"/>
          <w:color w:val="auto"/>
        </w:rPr>
      </w:pPr>
      <w:r>
        <w:rPr>
          <w:rFonts w:hint="eastAsia" w:ascii="宋体" w:hAnsi="宋体" w:eastAsia="宋体" w:cs="Times New Roman"/>
          <w:color w:val="auto"/>
        </w:rPr>
        <w:t>临时用电优先选用节能电线和节能灯具，临电线路合理设计、布置，临电设备宜采用自动控制装置。采用声控、光控等节能照明灯具。</w:t>
      </w:r>
    </w:p>
    <w:p w14:paraId="3E8F4F70">
      <w:pPr>
        <w:ind w:firstLine="480"/>
        <w:rPr>
          <w:rFonts w:hint="eastAsia" w:ascii="宋体" w:hAnsi="宋体" w:eastAsia="宋体" w:cs="Times New Roman"/>
          <w:color w:val="auto"/>
        </w:rPr>
      </w:pPr>
      <w:r>
        <w:rPr>
          <w:rFonts w:hint="eastAsia" w:ascii="宋体" w:hAnsi="宋体" w:eastAsia="宋体" w:cs="Times New Roman"/>
          <w:color w:val="auto"/>
        </w:rPr>
        <w:t>照明设计以满足最低照度为原则，照度不应超过最低照度的20%。</w:t>
      </w:r>
    </w:p>
    <w:p w14:paraId="5724F337">
      <w:pPr>
        <w:ind w:firstLine="480"/>
        <w:rPr>
          <w:rFonts w:hint="eastAsia" w:ascii="宋体" w:hAnsi="宋体" w:eastAsia="宋体" w:cs="Times New Roman"/>
          <w:color w:val="auto"/>
        </w:rPr>
      </w:pPr>
      <w:r>
        <w:rPr>
          <w:rFonts w:hint="eastAsia" w:ascii="宋体" w:hAnsi="宋体" w:eastAsia="宋体" w:cs="Times New Roman"/>
          <w:color w:val="auto"/>
        </w:rPr>
        <w:t>5、节地与施工用地保护的技术措施</w:t>
      </w:r>
    </w:p>
    <w:p w14:paraId="660E9E8B">
      <w:pPr>
        <w:ind w:firstLine="480"/>
        <w:rPr>
          <w:rFonts w:hint="eastAsia" w:ascii="宋体" w:hAnsi="宋体" w:eastAsia="宋体" w:cs="Times New Roman"/>
          <w:color w:val="auto"/>
        </w:rPr>
      </w:pPr>
      <w:r>
        <w:rPr>
          <w:rFonts w:hint="eastAsia" w:ascii="宋体" w:hAnsi="宋体" w:eastAsia="宋体" w:cs="Times New Roman"/>
          <w:color w:val="auto"/>
        </w:rPr>
        <w:t>（1）临时用地指标</w:t>
      </w:r>
    </w:p>
    <w:p w14:paraId="32C622E5">
      <w:pPr>
        <w:ind w:firstLine="480"/>
        <w:rPr>
          <w:rFonts w:hint="eastAsia" w:ascii="宋体" w:hAnsi="宋体" w:eastAsia="宋体" w:cs="Times New Roman"/>
          <w:color w:val="auto"/>
        </w:rPr>
      </w:pPr>
      <w:r>
        <w:rPr>
          <w:rFonts w:hint="eastAsia" w:ascii="宋体" w:hAnsi="宋体" w:eastAsia="宋体" w:cs="Times New Roman"/>
          <w:color w:val="auto"/>
        </w:rPr>
        <w:t>根据施工规模及现场条件等因素合理确定临时设施，如临时加工厂、现场作业棚及材料堆场、办公生活设施等的占地指标。</w:t>
      </w:r>
    </w:p>
    <w:p w14:paraId="35DE332C">
      <w:pPr>
        <w:ind w:firstLine="480"/>
        <w:rPr>
          <w:rFonts w:hint="eastAsia" w:ascii="宋体" w:hAnsi="宋体" w:eastAsia="宋体" w:cs="Times New Roman"/>
          <w:color w:val="auto"/>
        </w:rPr>
      </w:pPr>
      <w:r>
        <w:rPr>
          <w:rFonts w:hint="eastAsia" w:ascii="宋体" w:hAnsi="宋体" w:eastAsia="宋体" w:cs="Times New Roman"/>
          <w:color w:val="auto"/>
        </w:rPr>
        <w:t>要求平面布置合理、紧凑，在满足环境、职业健康与安全及文明施工要求的前提下尽可能减少废弃地和死角。</w:t>
      </w:r>
    </w:p>
    <w:p w14:paraId="4A71C788">
      <w:pPr>
        <w:ind w:firstLine="480"/>
        <w:rPr>
          <w:rFonts w:hint="eastAsia" w:ascii="宋体" w:hAnsi="宋体" w:eastAsia="宋体" w:cs="Times New Roman"/>
          <w:color w:val="auto"/>
        </w:rPr>
      </w:pPr>
      <w:r>
        <w:rPr>
          <w:rFonts w:hint="eastAsia" w:ascii="宋体" w:hAnsi="宋体" w:eastAsia="宋体" w:cs="Times New Roman"/>
          <w:color w:val="auto"/>
        </w:rPr>
        <w:t>（2）临时用地保护</w:t>
      </w:r>
    </w:p>
    <w:p w14:paraId="44DC1DB6">
      <w:pPr>
        <w:ind w:firstLine="480"/>
        <w:rPr>
          <w:rFonts w:hint="eastAsia" w:ascii="宋体" w:hAnsi="宋体" w:eastAsia="宋体" w:cs="Times New Roman"/>
          <w:color w:val="auto"/>
        </w:rPr>
      </w:pPr>
      <w:r>
        <w:rPr>
          <w:rFonts w:hint="eastAsia" w:ascii="宋体" w:hAnsi="宋体" w:eastAsia="宋体" w:cs="Times New Roman"/>
          <w:color w:val="auto"/>
        </w:rPr>
        <w:t>应对基坑施工方案进行优化，减少土方开挖和回填量，最大限度地减少对土地的扰动，保护周边自然生态环境。</w:t>
      </w:r>
    </w:p>
    <w:p w14:paraId="114C9B8F">
      <w:pPr>
        <w:ind w:firstLine="480"/>
        <w:rPr>
          <w:rFonts w:hint="eastAsia" w:ascii="宋体" w:hAnsi="宋体" w:eastAsia="宋体" w:cs="Times New Roman"/>
          <w:color w:val="auto"/>
        </w:rPr>
      </w:pPr>
      <w:r>
        <w:rPr>
          <w:rFonts w:hint="eastAsia" w:ascii="宋体" w:hAnsi="宋体" w:eastAsia="宋体" w:cs="Times New Roman"/>
          <w:color w:val="auto"/>
        </w:rPr>
        <w:t>利用和保护施工用地范围内原有绿色植被。</w:t>
      </w:r>
    </w:p>
    <w:p w14:paraId="7BF9C434">
      <w:pPr>
        <w:ind w:firstLine="480"/>
        <w:rPr>
          <w:rFonts w:hint="eastAsia" w:ascii="宋体" w:hAnsi="宋体" w:eastAsia="宋体" w:cs="Times New Roman"/>
          <w:color w:val="auto"/>
        </w:rPr>
      </w:pPr>
      <w:r>
        <w:rPr>
          <w:rFonts w:hint="eastAsia" w:ascii="宋体" w:hAnsi="宋体" w:eastAsia="宋体" w:cs="Times New Roman"/>
          <w:color w:val="auto"/>
        </w:rPr>
        <w:t>（3）施工总平面布置</w:t>
      </w:r>
    </w:p>
    <w:p w14:paraId="7A4E2ABA">
      <w:pPr>
        <w:ind w:firstLine="480"/>
        <w:rPr>
          <w:rFonts w:hint="eastAsia" w:ascii="宋体" w:hAnsi="宋体" w:eastAsia="宋体" w:cs="Times New Roman"/>
          <w:color w:val="auto"/>
        </w:rPr>
      </w:pPr>
      <w:r>
        <w:rPr>
          <w:rFonts w:hint="eastAsia" w:ascii="宋体" w:hAnsi="宋体" w:eastAsia="宋体" w:cs="Times New Roman"/>
          <w:color w:val="auto"/>
        </w:rPr>
        <w:t>施工总平面布置应做到科学、合理，充分利用原有建筑物、构筑物、道路、管线为施工服务。</w:t>
      </w:r>
    </w:p>
    <w:p w14:paraId="2508172A">
      <w:pPr>
        <w:ind w:firstLine="480"/>
        <w:rPr>
          <w:rFonts w:hint="eastAsia" w:ascii="宋体" w:hAnsi="宋体" w:eastAsia="宋体" w:cs="Times New Roman"/>
          <w:color w:val="auto"/>
        </w:rPr>
      </w:pPr>
      <w:r>
        <w:rPr>
          <w:rFonts w:hint="eastAsia" w:ascii="宋体" w:hAnsi="宋体" w:eastAsia="宋体" w:cs="Times New Roman"/>
          <w:color w:val="auto"/>
        </w:rPr>
        <w:t>施工现场仓库、加工作业棚、材料堆场等布置应尽量靠近已有交通线路或即将修建的正式或临时交通线路，缩短运输距离。</w:t>
      </w:r>
    </w:p>
    <w:p w14:paraId="3F3BC433">
      <w:pPr>
        <w:ind w:firstLine="480"/>
        <w:rPr>
          <w:rFonts w:hint="eastAsia" w:ascii="宋体" w:hAnsi="宋体" w:eastAsia="宋体" w:cs="Times New Roman"/>
          <w:color w:val="auto"/>
        </w:rPr>
      </w:pPr>
      <w:r>
        <w:rPr>
          <w:rFonts w:hint="eastAsia" w:ascii="宋体" w:hAnsi="宋体" w:eastAsia="宋体" w:cs="Times New Roman"/>
          <w:color w:val="auto"/>
        </w:rPr>
        <w:t>临时办公和生活用房应采用经济、美观、占地面积小、对周边地貌环境影响较小，且适合于施工平面布置动态调整的箱式板房等标准化装配式结构。生活区与生产区应分开布置，并设置标准的分隔设施。</w:t>
      </w:r>
    </w:p>
    <w:p w14:paraId="2D292675">
      <w:pPr>
        <w:ind w:firstLine="480"/>
        <w:rPr>
          <w:rFonts w:hint="eastAsia" w:ascii="宋体" w:hAnsi="宋体" w:eastAsia="宋体" w:cs="Times New Roman"/>
          <w:color w:val="auto"/>
        </w:rPr>
      </w:pPr>
      <w:r>
        <w:rPr>
          <w:rFonts w:hint="eastAsia" w:ascii="宋体" w:hAnsi="宋体" w:eastAsia="宋体" w:cs="Times New Roman"/>
          <w:color w:val="auto"/>
        </w:rPr>
        <w:t>施工现场道路按照永久道路和临时道路相结合的原则布置。施工现场内形成环形通路，减少道路占用土地。</w:t>
      </w:r>
    </w:p>
    <w:p w14:paraId="6048E9C4">
      <w:pPr>
        <w:ind w:firstLine="480"/>
        <w:rPr>
          <w:rFonts w:hint="eastAsia" w:ascii="宋体" w:hAnsi="宋体" w:eastAsia="宋体" w:cs="Times New Roman"/>
          <w:color w:val="auto"/>
        </w:rPr>
      </w:pPr>
      <w:r>
        <w:rPr>
          <w:rFonts w:hint="eastAsia" w:ascii="宋体" w:hAnsi="宋体" w:eastAsia="宋体" w:cs="Times New Roman"/>
          <w:color w:val="auto"/>
        </w:rPr>
        <w:t>临时设施布置应注意远近结合，努力减少和避免大量临时建筑拆迁和场地搬迁。</w:t>
      </w:r>
    </w:p>
    <w:p w14:paraId="4AA2B228">
      <w:pPr>
        <w:ind w:firstLine="480"/>
        <w:rPr>
          <w:rFonts w:hint="eastAsia" w:ascii="宋体" w:hAnsi="宋体" w:eastAsia="宋体" w:cs="Times New Roman"/>
          <w:color w:val="auto"/>
        </w:rPr>
      </w:pPr>
      <w:r>
        <w:rPr>
          <w:rFonts w:hint="eastAsia" w:ascii="宋体" w:hAnsi="宋体" w:eastAsia="宋体" w:cs="Times New Roman"/>
          <w:color w:val="auto"/>
        </w:rPr>
        <w:t>由于我国“绿色施工”尚处于起步阶段，我们将通过本工程试点和示范，总结经验，寻求“绿色施工”的健康发展之路，促进“绿色施工”的发展。</w:t>
      </w:r>
    </w:p>
    <w:p w14:paraId="3C1DC4BC">
      <w:pPr>
        <w:ind w:firstLine="480"/>
        <w:rPr>
          <w:rFonts w:hint="eastAsia" w:ascii="宋体" w:hAnsi="宋体" w:eastAsia="宋体" w:cs="Times New Roman"/>
          <w:color w:val="auto"/>
        </w:rPr>
      </w:pPr>
      <w:r>
        <w:rPr>
          <w:rFonts w:hint="eastAsia" w:ascii="宋体" w:hAnsi="宋体" w:eastAsia="宋体" w:cs="Times New Roman"/>
          <w:color w:val="auto"/>
        </w:rPr>
        <w:t>为了实现项目绿色施工管理目标，确保方案的有效实施，项目在施工过程中将加强监督和管理。</w:t>
      </w:r>
    </w:p>
    <w:p w14:paraId="7E7D66F6">
      <w:pPr>
        <w:ind w:firstLine="480"/>
        <w:rPr>
          <w:rFonts w:hint="eastAsia" w:ascii="宋体" w:hAnsi="宋体" w:eastAsia="宋体" w:cs="Times New Roman"/>
          <w:color w:val="auto"/>
        </w:rPr>
      </w:pPr>
      <w:r>
        <w:rPr>
          <w:rFonts w:hint="eastAsia" w:ascii="宋体" w:hAnsi="宋体" w:eastAsia="宋体" w:cs="Times New Roman"/>
          <w:color w:val="auto"/>
        </w:rPr>
        <w:t>定期组织绿色施工检查，对存在的问题及时落实整改。</w:t>
      </w:r>
    </w:p>
    <w:p w14:paraId="7AF7434E">
      <w:pPr>
        <w:ind w:firstLine="480"/>
        <w:rPr>
          <w:rFonts w:hint="eastAsia" w:ascii="宋体" w:hAnsi="宋体" w:eastAsia="宋体" w:cs="Times New Roman"/>
          <w:color w:val="auto"/>
        </w:rPr>
      </w:pPr>
      <w:r>
        <w:rPr>
          <w:rFonts w:hint="eastAsia" w:ascii="宋体" w:hAnsi="宋体" w:eastAsia="宋体" w:cs="Times New Roman"/>
          <w:color w:val="auto"/>
        </w:rPr>
        <w:t>定期召开绿色施工会议，对绿色施工工作进行总结、分析和下一步工作的布置，会议可与生产会议、安全会议一同召开，并形成会议纪要。</w:t>
      </w:r>
    </w:p>
    <w:p w14:paraId="4353FDEF">
      <w:pPr>
        <w:ind w:firstLine="480"/>
        <w:rPr>
          <w:rFonts w:hint="eastAsia" w:ascii="宋体" w:hAnsi="宋体" w:eastAsia="宋体" w:cs="Times New Roman"/>
          <w:color w:val="auto"/>
        </w:rPr>
      </w:pPr>
      <w:r>
        <w:rPr>
          <w:rFonts w:hint="eastAsia" w:ascii="宋体" w:hAnsi="宋体" w:eastAsia="宋体" w:cs="Times New Roman"/>
          <w:color w:val="auto"/>
        </w:rPr>
        <w:t>严格考核、奖罚制度，将绿色施工工作目标指标与个人经济效益挂钩。</w:t>
      </w:r>
    </w:p>
    <w:p w14:paraId="639571AC">
      <w:pPr>
        <w:ind w:firstLine="480"/>
        <w:rPr>
          <w:rFonts w:hint="eastAsia" w:ascii="宋体" w:hAnsi="宋体" w:eastAsia="宋体" w:cs="Times New Roman"/>
          <w:color w:val="auto"/>
        </w:rPr>
      </w:pPr>
      <w:r>
        <w:rPr>
          <w:rFonts w:hint="eastAsia" w:ascii="宋体" w:hAnsi="宋体" w:eastAsia="宋体" w:cs="Times New Roman"/>
          <w:color w:val="auto"/>
        </w:rPr>
        <w:t>安全部实行全过程监控、记录，将各类绿色施工资料以书面记录、照片等形式留存。</w:t>
      </w:r>
    </w:p>
    <w:p w14:paraId="3B1C2CB9">
      <w:pPr>
        <w:pStyle w:val="7"/>
        <w:ind w:firstLine="0"/>
        <w:rPr>
          <w:rFonts w:eastAsia="宋体" w:cs="Times New Roman"/>
          <w:color w:val="auto"/>
          <w:lang w:val="en-US" w:eastAsia="zh-CN"/>
        </w:rPr>
      </w:pPr>
      <w:bookmarkStart w:id="49" w:name="_Toc11226"/>
      <w:r>
        <w:rPr>
          <w:rFonts w:hint="eastAsia" w:eastAsia="宋体" w:cs="Times New Roman"/>
          <w:color w:val="auto"/>
          <w:lang w:val="en-US" w:eastAsia="zh-CN"/>
        </w:rPr>
        <w:t>绿色施工的实施措施</w:t>
      </w:r>
      <w:bookmarkEnd w:id="49"/>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1"/>
        <w:gridCol w:w="6020"/>
        <w:gridCol w:w="2155"/>
      </w:tblGrid>
      <w:tr w14:paraId="5C6BEE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noWrap w:val="0"/>
            <w:vAlign w:val="center"/>
          </w:tcPr>
          <w:p w14:paraId="1D17017F">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实施内容</w:t>
            </w:r>
          </w:p>
        </w:tc>
        <w:tc>
          <w:tcPr>
            <w:tcW w:w="3240" w:type="pct"/>
            <w:noWrap w:val="0"/>
            <w:vAlign w:val="center"/>
          </w:tcPr>
          <w:p w14:paraId="576EC659">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实施措施</w:t>
            </w:r>
          </w:p>
        </w:tc>
        <w:tc>
          <w:tcPr>
            <w:tcW w:w="1160" w:type="pct"/>
            <w:noWrap w:val="0"/>
            <w:vAlign w:val="center"/>
          </w:tcPr>
          <w:p w14:paraId="3859F271">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备注</w:t>
            </w:r>
          </w:p>
        </w:tc>
      </w:tr>
      <w:tr w14:paraId="0B3F2B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noWrap w:val="0"/>
            <w:vAlign w:val="center"/>
          </w:tcPr>
          <w:p w14:paraId="04BC27C8">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扬尘控制</w:t>
            </w:r>
          </w:p>
        </w:tc>
        <w:tc>
          <w:tcPr>
            <w:tcW w:w="3240" w:type="pct"/>
            <w:noWrap w:val="0"/>
            <w:vAlign w:val="center"/>
          </w:tcPr>
          <w:p w14:paraId="344E3C39">
            <w:pPr>
              <w:pStyle w:val="61"/>
              <w:spacing w:line="240" w:lineRule="auto"/>
              <w:rPr>
                <w:rStyle w:val="62"/>
                <w:rFonts w:eastAsia="宋体" w:cs="Times New Roman"/>
                <w:color w:val="auto"/>
                <w:sz w:val="21"/>
                <w:szCs w:val="20"/>
              </w:rPr>
            </w:pPr>
            <w:r>
              <w:rPr>
                <w:rStyle w:val="62"/>
                <w:rFonts w:eastAsia="宋体" w:cs="Times New Roman"/>
                <w:snapToGrid/>
                <w:color w:val="auto"/>
                <w:sz w:val="21"/>
                <w:szCs w:val="20"/>
              </w:rPr>
              <w:drawing>
                <wp:inline distT="0" distB="0" distL="114300" distR="114300">
                  <wp:extent cx="2920365" cy="790575"/>
                  <wp:effectExtent l="0" t="0" r="635" b="9525"/>
                  <wp:docPr id="8" name="图片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83"/>
                          <pic:cNvPicPr>
                            <a:picLocks noChangeAspect="1"/>
                          </pic:cNvPicPr>
                        </pic:nvPicPr>
                        <pic:blipFill>
                          <a:blip r:embed="rId32"/>
                          <a:stretch>
                            <a:fillRect/>
                          </a:stretch>
                        </pic:blipFill>
                        <pic:spPr>
                          <a:xfrm>
                            <a:off x="0" y="0"/>
                            <a:ext cx="2920365" cy="790575"/>
                          </a:xfrm>
                          <a:prstGeom prst="rect">
                            <a:avLst/>
                          </a:prstGeom>
                          <a:noFill/>
                          <a:ln>
                            <a:noFill/>
                          </a:ln>
                        </pic:spPr>
                      </pic:pic>
                    </a:graphicData>
                  </a:graphic>
                </wp:inline>
              </w:drawing>
            </w:r>
          </w:p>
        </w:tc>
        <w:tc>
          <w:tcPr>
            <w:tcW w:w="1160" w:type="pct"/>
            <w:noWrap w:val="0"/>
            <w:vAlign w:val="center"/>
          </w:tcPr>
          <w:p w14:paraId="048C1DC8">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场区大门处设置冲洗平台</w:t>
            </w:r>
          </w:p>
        </w:tc>
      </w:tr>
      <w:tr w14:paraId="6AE6F3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noWrap w:val="0"/>
            <w:vAlign w:val="center"/>
          </w:tcPr>
          <w:p w14:paraId="04512A54">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扬尘控制</w:t>
            </w:r>
          </w:p>
        </w:tc>
        <w:tc>
          <w:tcPr>
            <w:tcW w:w="3240" w:type="pct"/>
            <w:noWrap w:val="0"/>
            <w:vAlign w:val="center"/>
          </w:tcPr>
          <w:p w14:paraId="1B85D46C">
            <w:pPr>
              <w:pStyle w:val="61"/>
              <w:spacing w:line="240" w:lineRule="auto"/>
              <w:rPr>
                <w:rStyle w:val="62"/>
                <w:rFonts w:eastAsia="宋体" w:cs="Times New Roman"/>
                <w:color w:val="auto"/>
                <w:sz w:val="21"/>
                <w:szCs w:val="20"/>
              </w:rPr>
            </w:pPr>
            <w:r>
              <w:rPr>
                <w:rStyle w:val="62"/>
                <w:rFonts w:eastAsia="宋体" w:cs="Times New Roman"/>
                <w:snapToGrid/>
                <w:color w:val="auto"/>
                <w:sz w:val="21"/>
                <w:szCs w:val="20"/>
              </w:rPr>
              <w:drawing>
                <wp:inline distT="0" distB="0" distL="114300" distR="114300">
                  <wp:extent cx="2987040" cy="1142365"/>
                  <wp:effectExtent l="0" t="0" r="10160" b="635"/>
                  <wp:docPr id="9" name="图片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84"/>
                          <pic:cNvPicPr>
                            <a:picLocks noChangeAspect="1"/>
                          </pic:cNvPicPr>
                        </pic:nvPicPr>
                        <pic:blipFill>
                          <a:blip r:embed="rId33"/>
                          <a:srcRect b="20261"/>
                          <a:stretch>
                            <a:fillRect/>
                          </a:stretch>
                        </pic:blipFill>
                        <pic:spPr>
                          <a:xfrm>
                            <a:off x="0" y="0"/>
                            <a:ext cx="2987040" cy="1142365"/>
                          </a:xfrm>
                          <a:prstGeom prst="rect">
                            <a:avLst/>
                          </a:prstGeom>
                          <a:noFill/>
                          <a:ln>
                            <a:noFill/>
                          </a:ln>
                        </pic:spPr>
                      </pic:pic>
                    </a:graphicData>
                  </a:graphic>
                </wp:inline>
              </w:drawing>
            </w:r>
          </w:p>
        </w:tc>
        <w:tc>
          <w:tcPr>
            <w:tcW w:w="1160" w:type="pct"/>
            <w:noWrap w:val="0"/>
            <w:vAlign w:val="center"/>
          </w:tcPr>
          <w:p w14:paraId="161FADCF">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安排专人每天清扫道路</w:t>
            </w:r>
          </w:p>
        </w:tc>
      </w:tr>
      <w:tr w14:paraId="0CAD02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vMerge w:val="restart"/>
            <w:noWrap w:val="0"/>
            <w:vAlign w:val="center"/>
          </w:tcPr>
          <w:p w14:paraId="1D2422F2">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噪音控制</w:t>
            </w:r>
          </w:p>
        </w:tc>
        <w:tc>
          <w:tcPr>
            <w:tcW w:w="3240" w:type="pct"/>
            <w:noWrap w:val="0"/>
            <w:vAlign w:val="center"/>
          </w:tcPr>
          <w:p w14:paraId="44CC4831">
            <w:pPr>
              <w:pStyle w:val="61"/>
              <w:spacing w:line="240" w:lineRule="auto"/>
              <w:rPr>
                <w:rStyle w:val="62"/>
                <w:rFonts w:eastAsia="宋体" w:cs="Times New Roman"/>
                <w:color w:val="auto"/>
                <w:sz w:val="21"/>
                <w:szCs w:val="20"/>
              </w:rPr>
            </w:pPr>
            <w:r>
              <w:rPr>
                <w:rStyle w:val="62"/>
                <w:rFonts w:eastAsia="宋体" w:cs="Times New Roman"/>
                <w:snapToGrid/>
                <w:color w:val="auto"/>
                <w:sz w:val="21"/>
                <w:szCs w:val="20"/>
              </w:rPr>
              <w:drawing>
                <wp:inline distT="0" distB="0" distL="114300" distR="114300">
                  <wp:extent cx="2387600" cy="1765935"/>
                  <wp:effectExtent l="0" t="0" r="0" b="12065"/>
                  <wp:docPr id="10" name="图片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85"/>
                          <pic:cNvPicPr>
                            <a:picLocks noChangeAspect="1"/>
                          </pic:cNvPicPr>
                        </pic:nvPicPr>
                        <pic:blipFill>
                          <a:blip r:embed="rId34"/>
                          <a:stretch>
                            <a:fillRect/>
                          </a:stretch>
                        </pic:blipFill>
                        <pic:spPr>
                          <a:xfrm>
                            <a:off x="0" y="0"/>
                            <a:ext cx="2387600" cy="1765935"/>
                          </a:xfrm>
                          <a:prstGeom prst="rect">
                            <a:avLst/>
                          </a:prstGeom>
                          <a:noFill/>
                          <a:ln>
                            <a:noFill/>
                          </a:ln>
                        </pic:spPr>
                      </pic:pic>
                    </a:graphicData>
                  </a:graphic>
                </wp:inline>
              </w:drawing>
            </w:r>
          </w:p>
        </w:tc>
        <w:tc>
          <w:tcPr>
            <w:tcW w:w="1160" w:type="pct"/>
            <w:noWrap w:val="0"/>
            <w:vAlign w:val="center"/>
          </w:tcPr>
          <w:p w14:paraId="4E362808">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低噪音振动棒</w:t>
            </w:r>
          </w:p>
        </w:tc>
      </w:tr>
      <w:tr w14:paraId="72CE3A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7DC688CE">
            <w:pPr>
              <w:pStyle w:val="61"/>
              <w:spacing w:line="240" w:lineRule="auto"/>
              <w:rPr>
                <w:rStyle w:val="62"/>
                <w:color w:val="auto"/>
                <w:sz w:val="21"/>
                <w:szCs w:val="20"/>
                <w:rPrChange w:id="0" w:author="yong cai" w:date="2025-09-12T14:46:00Z">
                  <w:rPr>
                    <w:rStyle w:val="62"/>
                    <w:sz w:val="28"/>
                    <w:szCs w:val="28"/>
                  </w:rPr>
                </w:rPrChange>
              </w:rPr>
            </w:pPr>
          </w:p>
        </w:tc>
        <w:tc>
          <w:tcPr>
            <w:tcW w:w="3240" w:type="pct"/>
            <w:noWrap w:val="0"/>
            <w:vAlign w:val="center"/>
          </w:tcPr>
          <w:p w14:paraId="17C6D22D">
            <w:pPr>
              <w:pStyle w:val="61"/>
              <w:spacing w:line="240" w:lineRule="auto"/>
              <w:rPr>
                <w:rStyle w:val="62"/>
                <w:color w:val="auto"/>
                <w:sz w:val="21"/>
                <w:szCs w:val="20"/>
                <w:rPrChange w:id="1" w:author="yong cai" w:date="2025-09-12T14:46:00Z">
                  <w:rPr>
                    <w:rStyle w:val="62"/>
                    <w:sz w:val="28"/>
                    <w:szCs w:val="28"/>
                  </w:rPr>
                </w:rPrChange>
              </w:rPr>
            </w:pPr>
            <w:r>
              <w:rPr>
                <w:rStyle w:val="62"/>
                <w:color w:val="auto"/>
                <w:sz w:val="21"/>
                <w:szCs w:val="20"/>
                <w:rPrChange w:id="2" w:author="yong cai" w:date="2025-09-12T14:46:00Z">
                  <w:rPr>
                    <w:rStyle w:val="62"/>
                    <w:sz w:val="28"/>
                    <w:szCs w:val="28"/>
                  </w:rPr>
                </w:rPrChange>
              </w:rPr>
              <w:t>/</w:t>
            </w:r>
          </w:p>
        </w:tc>
        <w:tc>
          <w:tcPr>
            <w:tcW w:w="1160" w:type="pct"/>
            <w:noWrap w:val="0"/>
            <w:vAlign w:val="center"/>
          </w:tcPr>
          <w:p w14:paraId="260AEC62">
            <w:pPr>
              <w:pStyle w:val="61"/>
              <w:spacing w:line="240" w:lineRule="auto"/>
              <w:rPr>
                <w:rStyle w:val="62"/>
                <w:color w:val="auto"/>
                <w:sz w:val="21"/>
                <w:szCs w:val="20"/>
                <w:rPrChange w:id="3" w:author="yong cai" w:date="2025-09-12T14:46:00Z">
                  <w:rPr>
                    <w:rStyle w:val="62"/>
                    <w:sz w:val="28"/>
                    <w:szCs w:val="28"/>
                  </w:rPr>
                </w:rPrChange>
              </w:rPr>
            </w:pPr>
            <w:r>
              <w:rPr>
                <w:rStyle w:val="62"/>
                <w:rFonts w:hint="default"/>
                <w:color w:val="auto"/>
                <w:sz w:val="21"/>
                <w:szCs w:val="20"/>
                <w:rPrChange w:id="4" w:author="yong cai" w:date="2025-09-12T14:46:00Z">
                  <w:rPr>
                    <w:rStyle w:val="62"/>
                    <w:rFonts w:hint="eastAsia"/>
                    <w:sz w:val="28"/>
                    <w:szCs w:val="28"/>
                  </w:rPr>
                </w:rPrChange>
              </w:rPr>
              <w:t>噪音监测并记录</w:t>
            </w:r>
          </w:p>
        </w:tc>
      </w:tr>
      <w:tr w14:paraId="319FB2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65BC547F">
            <w:pPr>
              <w:pStyle w:val="61"/>
              <w:spacing w:line="240" w:lineRule="auto"/>
              <w:rPr>
                <w:rStyle w:val="62"/>
                <w:color w:val="auto"/>
                <w:sz w:val="21"/>
                <w:szCs w:val="20"/>
                <w:rPrChange w:id="5" w:author="yong cai" w:date="2025-09-12T14:46:00Z">
                  <w:rPr>
                    <w:rStyle w:val="62"/>
                    <w:sz w:val="28"/>
                    <w:szCs w:val="28"/>
                  </w:rPr>
                </w:rPrChange>
              </w:rPr>
            </w:pPr>
          </w:p>
        </w:tc>
        <w:tc>
          <w:tcPr>
            <w:tcW w:w="3240" w:type="pct"/>
            <w:noWrap w:val="0"/>
            <w:vAlign w:val="center"/>
          </w:tcPr>
          <w:p w14:paraId="5AF7F81B">
            <w:pPr>
              <w:pStyle w:val="61"/>
              <w:spacing w:line="240" w:lineRule="auto"/>
              <w:rPr>
                <w:rStyle w:val="62"/>
                <w:color w:val="auto"/>
                <w:sz w:val="21"/>
                <w:szCs w:val="20"/>
                <w:rPrChange w:id="6" w:author="yong cai" w:date="2025-09-12T14:46:00Z">
                  <w:rPr>
                    <w:rStyle w:val="62"/>
                    <w:sz w:val="28"/>
                    <w:szCs w:val="28"/>
                  </w:rPr>
                </w:rPrChange>
              </w:rPr>
            </w:pPr>
            <w:r>
              <w:rPr>
                <w:rStyle w:val="62"/>
                <w:color w:val="auto"/>
                <w:sz w:val="21"/>
                <w:szCs w:val="20"/>
                <w:rPrChange w:id="7" w:author="yong cai" w:date="2025-09-12T14:46:00Z">
                  <w:rPr>
                    <w:rStyle w:val="62"/>
                    <w:sz w:val="28"/>
                    <w:szCs w:val="28"/>
                  </w:rPr>
                </w:rPrChange>
              </w:rPr>
              <w:t>/</w:t>
            </w:r>
          </w:p>
        </w:tc>
        <w:tc>
          <w:tcPr>
            <w:tcW w:w="1160" w:type="pct"/>
            <w:noWrap w:val="0"/>
            <w:vAlign w:val="center"/>
          </w:tcPr>
          <w:p w14:paraId="23267CF9">
            <w:pPr>
              <w:pStyle w:val="61"/>
              <w:spacing w:line="240" w:lineRule="auto"/>
              <w:rPr>
                <w:rStyle w:val="62"/>
                <w:color w:val="auto"/>
                <w:sz w:val="21"/>
                <w:szCs w:val="20"/>
                <w:rPrChange w:id="8" w:author="yong cai" w:date="2025-09-12T14:46:00Z">
                  <w:rPr>
                    <w:rStyle w:val="62"/>
                    <w:sz w:val="28"/>
                    <w:szCs w:val="28"/>
                  </w:rPr>
                </w:rPrChange>
              </w:rPr>
            </w:pPr>
            <w:r>
              <w:rPr>
                <w:rStyle w:val="62"/>
                <w:rFonts w:hint="default"/>
                <w:color w:val="auto"/>
                <w:sz w:val="21"/>
                <w:szCs w:val="20"/>
                <w:rPrChange w:id="9" w:author="yong cai" w:date="2025-09-12T14:46:00Z">
                  <w:rPr>
                    <w:rStyle w:val="62"/>
                    <w:rFonts w:hint="eastAsia"/>
                    <w:sz w:val="28"/>
                    <w:szCs w:val="28"/>
                  </w:rPr>
                </w:rPrChange>
              </w:rPr>
              <w:t>室外灯塔照明</w:t>
            </w:r>
          </w:p>
        </w:tc>
      </w:tr>
      <w:tr w14:paraId="5081C7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vMerge w:val="restart"/>
            <w:noWrap w:val="0"/>
            <w:vAlign w:val="center"/>
          </w:tcPr>
          <w:p w14:paraId="372735A2">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光污染控制</w:t>
            </w:r>
          </w:p>
        </w:tc>
        <w:tc>
          <w:tcPr>
            <w:tcW w:w="3240" w:type="pct"/>
            <w:noWrap w:val="0"/>
            <w:vAlign w:val="center"/>
          </w:tcPr>
          <w:p w14:paraId="215DC89B">
            <w:pPr>
              <w:pStyle w:val="61"/>
              <w:spacing w:line="240" w:lineRule="auto"/>
              <w:rPr>
                <w:rStyle w:val="62"/>
                <w:rFonts w:eastAsia="宋体" w:cs="Times New Roman"/>
                <w:color w:val="auto"/>
                <w:sz w:val="21"/>
                <w:szCs w:val="20"/>
              </w:rPr>
            </w:pPr>
            <w:r>
              <w:rPr>
                <w:rStyle w:val="62"/>
                <w:rFonts w:eastAsia="宋体" w:cs="Times New Roman"/>
                <w:color w:val="auto"/>
                <w:sz w:val="21"/>
                <w:szCs w:val="20"/>
              </w:rPr>
              <w:t>/</w:t>
            </w:r>
          </w:p>
        </w:tc>
        <w:tc>
          <w:tcPr>
            <w:tcW w:w="1160" w:type="pct"/>
            <w:noWrap w:val="0"/>
            <w:vAlign w:val="center"/>
          </w:tcPr>
          <w:p w14:paraId="32DEC17A">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室外灯具设置遮光罩</w:t>
            </w:r>
          </w:p>
        </w:tc>
      </w:tr>
      <w:tr w14:paraId="21300E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430278AE">
            <w:pPr>
              <w:pStyle w:val="61"/>
              <w:spacing w:line="240" w:lineRule="auto"/>
              <w:rPr>
                <w:rStyle w:val="62"/>
                <w:color w:val="auto"/>
                <w:sz w:val="21"/>
                <w:szCs w:val="20"/>
                <w:rPrChange w:id="10" w:author="yong cai" w:date="2025-09-12T14:46:00Z">
                  <w:rPr>
                    <w:rStyle w:val="62"/>
                    <w:sz w:val="28"/>
                    <w:szCs w:val="28"/>
                  </w:rPr>
                </w:rPrChange>
              </w:rPr>
            </w:pPr>
          </w:p>
        </w:tc>
        <w:tc>
          <w:tcPr>
            <w:tcW w:w="3240" w:type="pct"/>
            <w:noWrap w:val="0"/>
            <w:vAlign w:val="center"/>
          </w:tcPr>
          <w:p w14:paraId="77DE2C55">
            <w:pPr>
              <w:pStyle w:val="61"/>
              <w:spacing w:line="240" w:lineRule="auto"/>
              <w:rPr>
                <w:rStyle w:val="62"/>
                <w:color w:val="auto"/>
                <w:sz w:val="21"/>
                <w:szCs w:val="20"/>
                <w:rPrChange w:id="11" w:author="yong cai" w:date="2025-09-12T14:46:00Z">
                  <w:rPr>
                    <w:rStyle w:val="62"/>
                    <w:sz w:val="28"/>
                    <w:szCs w:val="28"/>
                  </w:rPr>
                </w:rPrChange>
              </w:rPr>
            </w:pPr>
            <w:r>
              <w:rPr>
                <w:rStyle w:val="62"/>
                <w:snapToGrid/>
                <w:color w:val="auto"/>
                <w:sz w:val="21"/>
                <w:szCs w:val="20"/>
                <w:rPrChange w:id="13" w:author="yong cai" w:date="2025-09-12T14:46:00Z">
                  <w:rPr>
                    <w:rStyle w:val="62"/>
                    <w:snapToGrid/>
                    <w:sz w:val="28"/>
                    <w:szCs w:val="28"/>
                  </w:rPr>
                </w:rPrChange>
              </w:rPr>
              <w:drawing>
                <wp:inline distT="0" distB="0" distL="114300" distR="114300">
                  <wp:extent cx="1730375" cy="1639570"/>
                  <wp:effectExtent l="0" t="0" r="9525" b="11430"/>
                  <wp:docPr id="11" name="图片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86"/>
                          <pic:cNvPicPr>
                            <a:picLocks noChangeAspect="1"/>
                          </pic:cNvPicPr>
                        </pic:nvPicPr>
                        <pic:blipFill>
                          <a:blip r:embed="rId35">
                            <a:lum bright="12000"/>
                          </a:blip>
                          <a:stretch>
                            <a:fillRect/>
                          </a:stretch>
                        </pic:blipFill>
                        <pic:spPr>
                          <a:xfrm>
                            <a:off x="0" y="0"/>
                            <a:ext cx="1730375" cy="1639570"/>
                          </a:xfrm>
                          <a:prstGeom prst="rect">
                            <a:avLst/>
                          </a:prstGeom>
                          <a:noFill/>
                          <a:ln>
                            <a:noFill/>
                          </a:ln>
                        </pic:spPr>
                      </pic:pic>
                    </a:graphicData>
                  </a:graphic>
                </wp:inline>
              </w:drawing>
            </w:r>
          </w:p>
        </w:tc>
        <w:tc>
          <w:tcPr>
            <w:tcW w:w="1160" w:type="pct"/>
            <w:noWrap w:val="0"/>
            <w:vAlign w:val="center"/>
          </w:tcPr>
          <w:p w14:paraId="47900523">
            <w:pPr>
              <w:pStyle w:val="61"/>
              <w:spacing w:line="240" w:lineRule="auto"/>
              <w:rPr>
                <w:rStyle w:val="62"/>
                <w:color w:val="auto"/>
                <w:sz w:val="21"/>
                <w:szCs w:val="20"/>
                <w:rPrChange w:id="14" w:author="yong cai" w:date="2025-09-12T14:46:00Z">
                  <w:rPr>
                    <w:rStyle w:val="62"/>
                    <w:sz w:val="28"/>
                    <w:szCs w:val="28"/>
                  </w:rPr>
                </w:rPrChange>
              </w:rPr>
            </w:pPr>
            <w:r>
              <w:rPr>
                <w:rStyle w:val="62"/>
                <w:rFonts w:hint="default"/>
                <w:color w:val="auto"/>
                <w:sz w:val="21"/>
                <w:szCs w:val="20"/>
                <w:rPrChange w:id="15" w:author="yong cai" w:date="2025-09-12T14:46:00Z">
                  <w:rPr>
                    <w:rStyle w:val="62"/>
                    <w:rFonts w:hint="eastAsia"/>
                    <w:sz w:val="28"/>
                    <w:szCs w:val="28"/>
                  </w:rPr>
                </w:rPrChange>
              </w:rPr>
              <w:t>电焊施工，四周防火封闭，工人佩戴电焊面罩</w:t>
            </w:r>
          </w:p>
        </w:tc>
      </w:tr>
      <w:tr w14:paraId="1F6FA0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noWrap w:val="0"/>
            <w:vAlign w:val="center"/>
          </w:tcPr>
          <w:p w14:paraId="124F1592">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光污染控制</w:t>
            </w:r>
          </w:p>
        </w:tc>
        <w:tc>
          <w:tcPr>
            <w:tcW w:w="3240" w:type="pct"/>
            <w:noWrap w:val="0"/>
            <w:vAlign w:val="center"/>
          </w:tcPr>
          <w:p w14:paraId="6880EF1E">
            <w:pPr>
              <w:pStyle w:val="61"/>
              <w:spacing w:line="240" w:lineRule="auto"/>
              <w:rPr>
                <w:rStyle w:val="62"/>
                <w:rFonts w:eastAsia="宋体" w:cs="Times New Roman"/>
                <w:color w:val="auto"/>
                <w:sz w:val="21"/>
                <w:szCs w:val="20"/>
              </w:rPr>
            </w:pPr>
            <w:r>
              <w:rPr>
                <w:rStyle w:val="62"/>
                <w:rFonts w:eastAsia="宋体" w:cs="Times New Roman"/>
                <w:snapToGrid/>
                <w:color w:val="auto"/>
                <w:sz w:val="21"/>
                <w:szCs w:val="20"/>
              </w:rPr>
              <w:drawing>
                <wp:inline distT="0" distB="0" distL="114300" distR="114300">
                  <wp:extent cx="3699510" cy="3250565"/>
                  <wp:effectExtent l="0" t="0" r="8890" b="635"/>
                  <wp:docPr id="12" name="图片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87"/>
                          <pic:cNvPicPr>
                            <a:picLocks noChangeAspect="1"/>
                          </pic:cNvPicPr>
                        </pic:nvPicPr>
                        <pic:blipFill>
                          <a:blip r:embed="rId36"/>
                          <a:srcRect b="7159"/>
                          <a:stretch>
                            <a:fillRect/>
                          </a:stretch>
                        </pic:blipFill>
                        <pic:spPr>
                          <a:xfrm>
                            <a:off x="0" y="0"/>
                            <a:ext cx="3699510" cy="3250565"/>
                          </a:xfrm>
                          <a:prstGeom prst="rect">
                            <a:avLst/>
                          </a:prstGeom>
                          <a:noFill/>
                          <a:ln>
                            <a:noFill/>
                          </a:ln>
                        </pic:spPr>
                      </pic:pic>
                    </a:graphicData>
                  </a:graphic>
                </wp:inline>
              </w:drawing>
            </w:r>
          </w:p>
        </w:tc>
        <w:tc>
          <w:tcPr>
            <w:tcW w:w="1160" w:type="pct"/>
            <w:noWrap w:val="0"/>
            <w:vAlign w:val="center"/>
          </w:tcPr>
          <w:p w14:paraId="475C799B">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工地大门口设置车辆冲洗平台和污水沉淀池</w:t>
            </w:r>
          </w:p>
        </w:tc>
      </w:tr>
      <w:tr w14:paraId="3933A5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vMerge w:val="restart"/>
            <w:noWrap w:val="0"/>
            <w:vAlign w:val="center"/>
          </w:tcPr>
          <w:p w14:paraId="5AB27C4D">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水污染控制</w:t>
            </w:r>
          </w:p>
        </w:tc>
        <w:tc>
          <w:tcPr>
            <w:tcW w:w="3240" w:type="pct"/>
            <w:noWrap w:val="0"/>
            <w:vAlign w:val="center"/>
          </w:tcPr>
          <w:p w14:paraId="6DCC12A1">
            <w:pPr>
              <w:pStyle w:val="61"/>
              <w:spacing w:line="240" w:lineRule="auto"/>
              <w:rPr>
                <w:rStyle w:val="62"/>
                <w:rFonts w:eastAsia="宋体" w:cs="Times New Roman"/>
                <w:color w:val="auto"/>
                <w:sz w:val="21"/>
                <w:szCs w:val="20"/>
              </w:rPr>
            </w:pPr>
            <w:r>
              <w:rPr>
                <w:rStyle w:val="62"/>
                <w:rFonts w:eastAsia="宋体" w:cs="Times New Roman"/>
                <w:snapToGrid/>
                <w:color w:val="auto"/>
                <w:sz w:val="21"/>
                <w:szCs w:val="20"/>
              </w:rPr>
              <w:drawing>
                <wp:inline distT="0" distB="0" distL="114300" distR="114300">
                  <wp:extent cx="3656965" cy="1692910"/>
                  <wp:effectExtent l="0" t="0" r="635" b="8890"/>
                  <wp:docPr id="13" name="图片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88"/>
                          <pic:cNvPicPr>
                            <a:picLocks noChangeAspect="1"/>
                          </pic:cNvPicPr>
                        </pic:nvPicPr>
                        <pic:blipFill>
                          <a:blip r:embed="rId37"/>
                          <a:srcRect b="30594"/>
                          <a:stretch>
                            <a:fillRect/>
                          </a:stretch>
                        </pic:blipFill>
                        <pic:spPr>
                          <a:xfrm>
                            <a:off x="0" y="0"/>
                            <a:ext cx="3656965" cy="1692910"/>
                          </a:xfrm>
                          <a:prstGeom prst="rect">
                            <a:avLst/>
                          </a:prstGeom>
                          <a:noFill/>
                          <a:ln>
                            <a:noFill/>
                          </a:ln>
                        </pic:spPr>
                      </pic:pic>
                    </a:graphicData>
                  </a:graphic>
                </wp:inline>
              </w:drawing>
            </w:r>
          </w:p>
        </w:tc>
        <w:tc>
          <w:tcPr>
            <w:tcW w:w="1160" w:type="pct"/>
            <w:noWrap w:val="0"/>
            <w:vAlign w:val="center"/>
          </w:tcPr>
          <w:p w14:paraId="1842C120">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移动环保厕所</w:t>
            </w:r>
          </w:p>
        </w:tc>
      </w:tr>
      <w:tr w14:paraId="5AB216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1F50E5F8">
            <w:pPr>
              <w:pStyle w:val="61"/>
              <w:spacing w:line="240" w:lineRule="auto"/>
              <w:rPr>
                <w:rStyle w:val="62"/>
                <w:color w:val="auto"/>
                <w:sz w:val="21"/>
                <w:szCs w:val="20"/>
                <w:rPrChange w:id="16" w:author="yong cai" w:date="2025-09-12T14:46:00Z">
                  <w:rPr>
                    <w:rStyle w:val="62"/>
                    <w:sz w:val="28"/>
                    <w:szCs w:val="28"/>
                  </w:rPr>
                </w:rPrChange>
              </w:rPr>
            </w:pPr>
          </w:p>
        </w:tc>
        <w:tc>
          <w:tcPr>
            <w:tcW w:w="3240" w:type="pct"/>
            <w:noWrap w:val="0"/>
            <w:vAlign w:val="center"/>
          </w:tcPr>
          <w:p w14:paraId="388B7556">
            <w:pPr>
              <w:pStyle w:val="61"/>
              <w:spacing w:line="240" w:lineRule="auto"/>
              <w:rPr>
                <w:rStyle w:val="62"/>
                <w:color w:val="auto"/>
                <w:sz w:val="21"/>
                <w:szCs w:val="20"/>
                <w:rPrChange w:id="17" w:author="yong cai" w:date="2025-09-12T14:46:00Z">
                  <w:rPr>
                    <w:rStyle w:val="62"/>
                    <w:sz w:val="28"/>
                    <w:szCs w:val="28"/>
                  </w:rPr>
                </w:rPrChange>
              </w:rPr>
            </w:pPr>
            <w:r>
              <w:rPr>
                <w:rStyle w:val="62"/>
                <w:snapToGrid/>
                <w:color w:val="auto"/>
                <w:sz w:val="21"/>
                <w:szCs w:val="20"/>
                <w:rPrChange w:id="19" w:author="yong cai" w:date="2025-09-12T14:46:00Z">
                  <w:rPr>
                    <w:rStyle w:val="62"/>
                    <w:snapToGrid/>
                    <w:sz w:val="28"/>
                    <w:szCs w:val="28"/>
                  </w:rPr>
                </w:rPrChange>
              </w:rPr>
              <w:drawing>
                <wp:inline distT="0" distB="0" distL="114300" distR="114300">
                  <wp:extent cx="2488565" cy="1985010"/>
                  <wp:effectExtent l="0" t="0" r="635" b="8890"/>
                  <wp:docPr id="14" name="图片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89"/>
                          <pic:cNvPicPr>
                            <a:picLocks noChangeAspect="1"/>
                          </pic:cNvPicPr>
                        </pic:nvPicPr>
                        <pic:blipFill>
                          <a:blip r:embed="rId38"/>
                          <a:stretch>
                            <a:fillRect/>
                          </a:stretch>
                        </pic:blipFill>
                        <pic:spPr>
                          <a:xfrm>
                            <a:off x="0" y="0"/>
                            <a:ext cx="2488565" cy="1985010"/>
                          </a:xfrm>
                          <a:prstGeom prst="rect">
                            <a:avLst/>
                          </a:prstGeom>
                          <a:noFill/>
                          <a:ln>
                            <a:noFill/>
                          </a:ln>
                        </pic:spPr>
                      </pic:pic>
                    </a:graphicData>
                  </a:graphic>
                </wp:inline>
              </w:drawing>
            </w:r>
          </w:p>
        </w:tc>
        <w:tc>
          <w:tcPr>
            <w:tcW w:w="1160" w:type="pct"/>
            <w:noWrap w:val="0"/>
            <w:vAlign w:val="center"/>
          </w:tcPr>
          <w:p w14:paraId="0C01D523">
            <w:pPr>
              <w:pStyle w:val="61"/>
              <w:spacing w:line="240" w:lineRule="auto"/>
              <w:rPr>
                <w:rStyle w:val="62"/>
                <w:color w:val="auto"/>
                <w:sz w:val="21"/>
                <w:szCs w:val="20"/>
                <w:rPrChange w:id="20" w:author="yong cai" w:date="2025-09-12T14:46:00Z">
                  <w:rPr>
                    <w:rStyle w:val="62"/>
                    <w:sz w:val="28"/>
                    <w:szCs w:val="28"/>
                  </w:rPr>
                </w:rPrChange>
              </w:rPr>
            </w:pPr>
            <w:r>
              <w:rPr>
                <w:rStyle w:val="62"/>
                <w:rFonts w:hint="default"/>
                <w:color w:val="auto"/>
                <w:sz w:val="21"/>
                <w:szCs w:val="20"/>
                <w:rPrChange w:id="21" w:author="yong cai" w:date="2025-09-12T14:46:00Z">
                  <w:rPr>
                    <w:rStyle w:val="62"/>
                    <w:rFonts w:hint="eastAsia"/>
                    <w:sz w:val="28"/>
                    <w:szCs w:val="28"/>
                  </w:rPr>
                </w:rPrChange>
              </w:rPr>
              <w:t>现场设置废水回收池</w:t>
            </w:r>
          </w:p>
        </w:tc>
      </w:tr>
      <w:tr w14:paraId="458BF1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54AEE502">
            <w:pPr>
              <w:pStyle w:val="61"/>
              <w:spacing w:line="240" w:lineRule="auto"/>
              <w:rPr>
                <w:rStyle w:val="62"/>
                <w:color w:val="auto"/>
                <w:sz w:val="21"/>
                <w:szCs w:val="20"/>
                <w:rPrChange w:id="22" w:author="yong cai" w:date="2025-09-12T14:46:00Z">
                  <w:rPr>
                    <w:rStyle w:val="62"/>
                    <w:sz w:val="28"/>
                    <w:szCs w:val="28"/>
                  </w:rPr>
                </w:rPrChange>
              </w:rPr>
            </w:pPr>
          </w:p>
        </w:tc>
        <w:tc>
          <w:tcPr>
            <w:tcW w:w="3240" w:type="pct"/>
            <w:noWrap w:val="0"/>
            <w:vAlign w:val="center"/>
          </w:tcPr>
          <w:p w14:paraId="477E4FFF">
            <w:pPr>
              <w:pStyle w:val="61"/>
              <w:spacing w:line="240" w:lineRule="auto"/>
              <w:rPr>
                <w:rStyle w:val="62"/>
                <w:color w:val="auto"/>
                <w:sz w:val="21"/>
                <w:szCs w:val="20"/>
                <w:rPrChange w:id="23" w:author="yong cai" w:date="2025-09-12T14:46:00Z">
                  <w:rPr>
                    <w:rStyle w:val="62"/>
                    <w:sz w:val="28"/>
                    <w:szCs w:val="28"/>
                  </w:rPr>
                </w:rPrChange>
              </w:rPr>
            </w:pPr>
            <w:r>
              <w:rPr>
                <w:rStyle w:val="62"/>
                <w:snapToGrid/>
                <w:color w:val="auto"/>
                <w:sz w:val="21"/>
                <w:szCs w:val="20"/>
                <w:rPrChange w:id="25" w:author="yong cai" w:date="2025-09-12T14:46:00Z">
                  <w:rPr>
                    <w:rStyle w:val="62"/>
                    <w:snapToGrid/>
                    <w:sz w:val="28"/>
                    <w:szCs w:val="28"/>
                  </w:rPr>
                </w:rPrChange>
              </w:rPr>
              <w:drawing>
                <wp:inline distT="0" distB="0" distL="114300" distR="114300">
                  <wp:extent cx="2773680" cy="1957070"/>
                  <wp:effectExtent l="0" t="0" r="7620" b="11430"/>
                  <wp:docPr id="15" name="图片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90"/>
                          <pic:cNvPicPr>
                            <a:picLocks noChangeAspect="1"/>
                          </pic:cNvPicPr>
                        </pic:nvPicPr>
                        <pic:blipFill>
                          <a:blip r:embed="rId39"/>
                          <a:stretch>
                            <a:fillRect/>
                          </a:stretch>
                        </pic:blipFill>
                        <pic:spPr>
                          <a:xfrm>
                            <a:off x="0" y="0"/>
                            <a:ext cx="2773680" cy="1957070"/>
                          </a:xfrm>
                          <a:prstGeom prst="rect">
                            <a:avLst/>
                          </a:prstGeom>
                          <a:noFill/>
                          <a:ln>
                            <a:noFill/>
                          </a:ln>
                        </pic:spPr>
                      </pic:pic>
                    </a:graphicData>
                  </a:graphic>
                </wp:inline>
              </w:drawing>
            </w:r>
          </w:p>
        </w:tc>
        <w:tc>
          <w:tcPr>
            <w:tcW w:w="1160" w:type="pct"/>
            <w:noWrap w:val="0"/>
            <w:vAlign w:val="center"/>
          </w:tcPr>
          <w:p w14:paraId="7C05250B">
            <w:pPr>
              <w:pStyle w:val="61"/>
              <w:spacing w:line="240" w:lineRule="auto"/>
              <w:rPr>
                <w:rStyle w:val="62"/>
                <w:color w:val="auto"/>
                <w:sz w:val="21"/>
                <w:szCs w:val="20"/>
                <w:rPrChange w:id="26" w:author="yong cai" w:date="2025-09-12T14:46:00Z">
                  <w:rPr>
                    <w:rStyle w:val="62"/>
                    <w:sz w:val="28"/>
                    <w:szCs w:val="28"/>
                  </w:rPr>
                </w:rPrChange>
              </w:rPr>
            </w:pPr>
            <w:r>
              <w:rPr>
                <w:rStyle w:val="62"/>
                <w:rFonts w:hint="default"/>
                <w:color w:val="auto"/>
                <w:sz w:val="21"/>
                <w:szCs w:val="20"/>
                <w:rPrChange w:id="27" w:author="yong cai" w:date="2025-09-12T14:46:00Z">
                  <w:rPr>
                    <w:rStyle w:val="62"/>
                    <w:rFonts w:hint="eastAsia"/>
                    <w:sz w:val="28"/>
                    <w:szCs w:val="28"/>
                  </w:rPr>
                </w:rPrChange>
              </w:rPr>
              <w:t>混凝土渣、砌块、面砖粉碎处理，处理后采用制砖机自行生产砌块</w:t>
            </w:r>
          </w:p>
        </w:tc>
      </w:tr>
      <w:tr w14:paraId="56CDF9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vMerge w:val="restart"/>
            <w:noWrap w:val="0"/>
            <w:vAlign w:val="center"/>
          </w:tcPr>
          <w:p w14:paraId="0C9C9555">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建筑垃圾控制</w:t>
            </w:r>
          </w:p>
        </w:tc>
        <w:tc>
          <w:tcPr>
            <w:tcW w:w="3240" w:type="pct"/>
            <w:noWrap w:val="0"/>
            <w:vAlign w:val="center"/>
          </w:tcPr>
          <w:p w14:paraId="12AD2C5E">
            <w:pPr>
              <w:pStyle w:val="61"/>
              <w:spacing w:line="240" w:lineRule="auto"/>
              <w:rPr>
                <w:rStyle w:val="62"/>
                <w:rFonts w:eastAsia="宋体" w:cs="Times New Roman"/>
                <w:color w:val="auto"/>
                <w:sz w:val="21"/>
                <w:szCs w:val="20"/>
              </w:rPr>
            </w:pPr>
            <w:r>
              <w:rPr>
                <w:rStyle w:val="62"/>
                <w:rFonts w:eastAsia="宋体" w:cs="Times New Roman"/>
                <w:snapToGrid/>
                <w:color w:val="auto"/>
                <w:sz w:val="21"/>
                <w:szCs w:val="20"/>
              </w:rPr>
              <w:drawing>
                <wp:inline distT="0" distB="0" distL="114300" distR="114300">
                  <wp:extent cx="2891790" cy="2220595"/>
                  <wp:effectExtent l="0" t="0" r="3810" b="1905"/>
                  <wp:docPr id="16" name="图片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91"/>
                          <pic:cNvPicPr>
                            <a:picLocks noChangeAspect="1"/>
                          </pic:cNvPicPr>
                        </pic:nvPicPr>
                        <pic:blipFill>
                          <a:blip r:embed="rId40"/>
                          <a:stretch>
                            <a:fillRect/>
                          </a:stretch>
                        </pic:blipFill>
                        <pic:spPr>
                          <a:xfrm>
                            <a:off x="0" y="0"/>
                            <a:ext cx="2891790" cy="2220595"/>
                          </a:xfrm>
                          <a:prstGeom prst="rect">
                            <a:avLst/>
                          </a:prstGeom>
                          <a:noFill/>
                          <a:ln>
                            <a:noFill/>
                          </a:ln>
                        </pic:spPr>
                      </pic:pic>
                    </a:graphicData>
                  </a:graphic>
                </wp:inline>
              </w:drawing>
            </w:r>
          </w:p>
        </w:tc>
        <w:tc>
          <w:tcPr>
            <w:tcW w:w="1160" w:type="pct"/>
            <w:noWrap w:val="0"/>
            <w:vAlign w:val="center"/>
          </w:tcPr>
          <w:p w14:paraId="7DBCDF69">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远离办公区域，单独存放有毒有害物质</w:t>
            </w:r>
          </w:p>
        </w:tc>
      </w:tr>
      <w:tr w14:paraId="484A12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242BBA4F">
            <w:pPr>
              <w:pStyle w:val="61"/>
              <w:spacing w:line="240" w:lineRule="auto"/>
              <w:rPr>
                <w:rStyle w:val="62"/>
                <w:color w:val="auto"/>
                <w:sz w:val="21"/>
                <w:szCs w:val="20"/>
                <w:rPrChange w:id="28" w:author="yong cai" w:date="2025-09-12T14:46:00Z">
                  <w:rPr>
                    <w:rStyle w:val="62"/>
                    <w:sz w:val="28"/>
                    <w:szCs w:val="28"/>
                  </w:rPr>
                </w:rPrChange>
              </w:rPr>
            </w:pPr>
          </w:p>
        </w:tc>
        <w:tc>
          <w:tcPr>
            <w:tcW w:w="3240" w:type="pct"/>
            <w:noWrap w:val="0"/>
            <w:vAlign w:val="center"/>
          </w:tcPr>
          <w:p w14:paraId="2509E232">
            <w:pPr>
              <w:pStyle w:val="61"/>
              <w:spacing w:line="240" w:lineRule="auto"/>
              <w:rPr>
                <w:rStyle w:val="62"/>
                <w:color w:val="auto"/>
                <w:sz w:val="21"/>
                <w:szCs w:val="20"/>
                <w:rPrChange w:id="29" w:author="yong cai" w:date="2025-09-12T14:46:00Z">
                  <w:rPr>
                    <w:rStyle w:val="62"/>
                    <w:sz w:val="28"/>
                    <w:szCs w:val="28"/>
                  </w:rPr>
                </w:rPrChange>
              </w:rPr>
            </w:pPr>
            <w:r>
              <w:rPr>
                <w:rStyle w:val="62"/>
                <w:snapToGrid/>
                <w:color w:val="auto"/>
                <w:sz w:val="21"/>
                <w:szCs w:val="20"/>
                <w:rPrChange w:id="31" w:author="yong cai" w:date="2025-09-12T14:46:00Z">
                  <w:rPr>
                    <w:rStyle w:val="62"/>
                    <w:snapToGrid/>
                    <w:sz w:val="28"/>
                    <w:szCs w:val="28"/>
                  </w:rPr>
                </w:rPrChange>
              </w:rPr>
              <w:drawing>
                <wp:inline distT="0" distB="0" distL="114300" distR="114300">
                  <wp:extent cx="2886710" cy="1978025"/>
                  <wp:effectExtent l="0" t="0" r="8890" b="3175"/>
                  <wp:docPr id="17" name="图片 592" descr="靠山楼测量孔临时防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92" descr="靠山楼测量孔临时防护"/>
                          <pic:cNvPicPr>
                            <a:picLocks noChangeAspect="1"/>
                          </pic:cNvPicPr>
                        </pic:nvPicPr>
                        <pic:blipFill>
                          <a:blip r:embed="rId41"/>
                          <a:srcRect l="10336" t="21017" r="10239" b="13065"/>
                          <a:stretch>
                            <a:fillRect/>
                          </a:stretch>
                        </pic:blipFill>
                        <pic:spPr>
                          <a:xfrm>
                            <a:off x="0" y="0"/>
                            <a:ext cx="2886710" cy="1978025"/>
                          </a:xfrm>
                          <a:prstGeom prst="rect">
                            <a:avLst/>
                          </a:prstGeom>
                          <a:noFill/>
                          <a:ln>
                            <a:noFill/>
                          </a:ln>
                        </pic:spPr>
                      </pic:pic>
                    </a:graphicData>
                  </a:graphic>
                </wp:inline>
              </w:drawing>
            </w:r>
          </w:p>
        </w:tc>
        <w:tc>
          <w:tcPr>
            <w:tcW w:w="1160" w:type="pct"/>
            <w:noWrap w:val="0"/>
            <w:vAlign w:val="center"/>
          </w:tcPr>
          <w:p w14:paraId="0CD13288">
            <w:pPr>
              <w:pStyle w:val="61"/>
              <w:spacing w:line="240" w:lineRule="auto"/>
              <w:rPr>
                <w:rStyle w:val="62"/>
                <w:color w:val="auto"/>
                <w:sz w:val="21"/>
                <w:szCs w:val="20"/>
                <w:rPrChange w:id="32" w:author="yong cai" w:date="2025-09-12T14:46:00Z">
                  <w:rPr>
                    <w:rStyle w:val="62"/>
                    <w:sz w:val="28"/>
                    <w:szCs w:val="28"/>
                  </w:rPr>
                </w:rPrChange>
              </w:rPr>
            </w:pPr>
            <w:r>
              <w:rPr>
                <w:rStyle w:val="62"/>
                <w:rFonts w:hint="default"/>
                <w:color w:val="auto"/>
                <w:sz w:val="21"/>
                <w:szCs w:val="20"/>
                <w:rPrChange w:id="33" w:author="yong cai" w:date="2025-09-12T14:46:00Z">
                  <w:rPr>
                    <w:rStyle w:val="62"/>
                    <w:rFonts w:hint="eastAsia"/>
                    <w:sz w:val="28"/>
                    <w:szCs w:val="28"/>
                  </w:rPr>
                </w:rPrChange>
              </w:rPr>
              <w:t>废旧模板利用</w:t>
            </w:r>
          </w:p>
        </w:tc>
      </w:tr>
      <w:tr w14:paraId="084E5C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6920A946">
            <w:pPr>
              <w:pStyle w:val="61"/>
              <w:spacing w:line="240" w:lineRule="auto"/>
              <w:rPr>
                <w:rStyle w:val="62"/>
                <w:color w:val="auto"/>
                <w:sz w:val="21"/>
                <w:szCs w:val="20"/>
                <w:rPrChange w:id="34" w:author="yong cai" w:date="2025-09-12T14:46:00Z">
                  <w:rPr>
                    <w:rStyle w:val="62"/>
                    <w:sz w:val="28"/>
                    <w:szCs w:val="28"/>
                  </w:rPr>
                </w:rPrChange>
              </w:rPr>
            </w:pPr>
          </w:p>
        </w:tc>
        <w:tc>
          <w:tcPr>
            <w:tcW w:w="3240" w:type="pct"/>
            <w:noWrap w:val="0"/>
            <w:vAlign w:val="center"/>
          </w:tcPr>
          <w:p w14:paraId="0250F82F">
            <w:pPr>
              <w:pStyle w:val="61"/>
              <w:spacing w:line="240" w:lineRule="auto"/>
              <w:rPr>
                <w:rStyle w:val="62"/>
                <w:color w:val="auto"/>
                <w:sz w:val="21"/>
                <w:szCs w:val="20"/>
                <w:rPrChange w:id="35" w:author="yong cai" w:date="2025-09-12T14:46:00Z">
                  <w:rPr>
                    <w:rStyle w:val="62"/>
                    <w:sz w:val="28"/>
                    <w:szCs w:val="28"/>
                  </w:rPr>
                </w:rPrChange>
              </w:rPr>
            </w:pPr>
            <w:r>
              <w:rPr>
                <w:rStyle w:val="62"/>
                <w:snapToGrid/>
                <w:color w:val="auto"/>
                <w:sz w:val="21"/>
                <w:szCs w:val="20"/>
                <w:rPrChange w:id="37" w:author="yong cai" w:date="2025-09-12T14:46:00Z">
                  <w:rPr>
                    <w:rStyle w:val="62"/>
                    <w:snapToGrid/>
                    <w:sz w:val="28"/>
                    <w:szCs w:val="28"/>
                  </w:rPr>
                </w:rPrChange>
              </w:rPr>
              <w:drawing>
                <wp:inline distT="0" distB="0" distL="114300" distR="114300">
                  <wp:extent cx="3157220" cy="2044065"/>
                  <wp:effectExtent l="0" t="0" r="5080" b="635"/>
                  <wp:docPr id="18" name="图片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93"/>
                          <pic:cNvPicPr>
                            <a:picLocks noChangeAspect="1"/>
                          </pic:cNvPicPr>
                        </pic:nvPicPr>
                        <pic:blipFill>
                          <a:blip r:embed="rId42"/>
                          <a:srcRect l="7005" b="7938"/>
                          <a:stretch>
                            <a:fillRect/>
                          </a:stretch>
                        </pic:blipFill>
                        <pic:spPr>
                          <a:xfrm>
                            <a:off x="0" y="0"/>
                            <a:ext cx="3157220" cy="2044065"/>
                          </a:xfrm>
                          <a:prstGeom prst="rect">
                            <a:avLst/>
                          </a:prstGeom>
                          <a:noFill/>
                          <a:ln>
                            <a:noFill/>
                          </a:ln>
                        </pic:spPr>
                      </pic:pic>
                    </a:graphicData>
                  </a:graphic>
                </wp:inline>
              </w:drawing>
            </w:r>
          </w:p>
        </w:tc>
        <w:tc>
          <w:tcPr>
            <w:tcW w:w="1160" w:type="pct"/>
            <w:noWrap w:val="0"/>
            <w:vAlign w:val="center"/>
          </w:tcPr>
          <w:p w14:paraId="4106A03E">
            <w:pPr>
              <w:pStyle w:val="61"/>
              <w:spacing w:line="240" w:lineRule="auto"/>
              <w:rPr>
                <w:rStyle w:val="62"/>
                <w:color w:val="auto"/>
                <w:sz w:val="21"/>
                <w:szCs w:val="20"/>
                <w:rPrChange w:id="38" w:author="yong cai" w:date="2025-09-12T14:46:00Z">
                  <w:rPr>
                    <w:rStyle w:val="62"/>
                    <w:sz w:val="28"/>
                    <w:szCs w:val="28"/>
                  </w:rPr>
                </w:rPrChange>
              </w:rPr>
            </w:pPr>
            <w:r>
              <w:rPr>
                <w:rStyle w:val="62"/>
                <w:rFonts w:hint="default"/>
                <w:color w:val="auto"/>
                <w:sz w:val="21"/>
                <w:szCs w:val="20"/>
                <w:rPrChange w:id="39" w:author="yong cai" w:date="2025-09-12T14:46:00Z">
                  <w:rPr>
                    <w:rStyle w:val="62"/>
                    <w:rFonts w:hint="eastAsia"/>
                    <w:sz w:val="28"/>
                    <w:szCs w:val="28"/>
                  </w:rPr>
                </w:rPrChange>
              </w:rPr>
              <w:t>工人配备完善的个人劳动防护用品</w:t>
            </w:r>
          </w:p>
        </w:tc>
      </w:tr>
      <w:tr w14:paraId="24F265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noWrap w:val="0"/>
            <w:vAlign w:val="center"/>
          </w:tcPr>
          <w:p w14:paraId="3C93B127">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人员健康</w:t>
            </w:r>
          </w:p>
        </w:tc>
        <w:tc>
          <w:tcPr>
            <w:tcW w:w="3240" w:type="pct"/>
            <w:noWrap w:val="0"/>
            <w:vAlign w:val="center"/>
          </w:tcPr>
          <w:p w14:paraId="41405795">
            <w:pPr>
              <w:pStyle w:val="61"/>
              <w:spacing w:line="240" w:lineRule="auto"/>
              <w:rPr>
                <w:rStyle w:val="62"/>
                <w:rFonts w:eastAsia="宋体" w:cs="Times New Roman"/>
                <w:color w:val="auto"/>
                <w:sz w:val="21"/>
                <w:szCs w:val="20"/>
              </w:rPr>
            </w:pPr>
            <w:r>
              <w:rPr>
                <w:rStyle w:val="62"/>
                <w:rFonts w:eastAsia="宋体" w:cs="Times New Roman"/>
                <w:snapToGrid/>
                <w:color w:val="auto"/>
                <w:sz w:val="21"/>
                <w:szCs w:val="20"/>
              </w:rPr>
              <w:drawing>
                <wp:inline distT="0" distB="0" distL="114300" distR="114300">
                  <wp:extent cx="3107690" cy="1946275"/>
                  <wp:effectExtent l="0" t="0" r="3810" b="9525"/>
                  <wp:docPr id="19" name="图片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94"/>
                          <pic:cNvPicPr>
                            <a:picLocks noChangeAspect="1"/>
                          </pic:cNvPicPr>
                        </pic:nvPicPr>
                        <pic:blipFill>
                          <a:blip r:embed="rId43"/>
                          <a:srcRect t="17052"/>
                          <a:stretch>
                            <a:fillRect/>
                          </a:stretch>
                        </pic:blipFill>
                        <pic:spPr>
                          <a:xfrm>
                            <a:off x="0" y="0"/>
                            <a:ext cx="3107690" cy="1946275"/>
                          </a:xfrm>
                          <a:prstGeom prst="rect">
                            <a:avLst/>
                          </a:prstGeom>
                          <a:noFill/>
                          <a:ln>
                            <a:noFill/>
                          </a:ln>
                        </pic:spPr>
                      </pic:pic>
                    </a:graphicData>
                  </a:graphic>
                </wp:inline>
              </w:drawing>
            </w:r>
          </w:p>
        </w:tc>
        <w:tc>
          <w:tcPr>
            <w:tcW w:w="1160" w:type="pct"/>
            <w:noWrap w:val="0"/>
            <w:vAlign w:val="center"/>
          </w:tcPr>
          <w:p w14:paraId="0BC7F4D4">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干净整洁的食堂</w:t>
            </w:r>
          </w:p>
        </w:tc>
      </w:tr>
      <w:tr w14:paraId="2F08BE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vMerge w:val="restart"/>
            <w:noWrap w:val="0"/>
            <w:vAlign w:val="center"/>
          </w:tcPr>
          <w:p w14:paraId="273861B0">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人员健康</w:t>
            </w:r>
          </w:p>
        </w:tc>
        <w:tc>
          <w:tcPr>
            <w:tcW w:w="3240" w:type="pct"/>
            <w:noWrap w:val="0"/>
            <w:vAlign w:val="center"/>
          </w:tcPr>
          <w:p w14:paraId="63247C64">
            <w:pPr>
              <w:pStyle w:val="61"/>
              <w:spacing w:line="240" w:lineRule="auto"/>
              <w:rPr>
                <w:rStyle w:val="62"/>
                <w:rFonts w:eastAsia="宋体" w:cs="Times New Roman"/>
                <w:color w:val="auto"/>
                <w:sz w:val="21"/>
                <w:szCs w:val="20"/>
              </w:rPr>
            </w:pPr>
            <w:r>
              <w:rPr>
                <w:rStyle w:val="62"/>
                <w:rFonts w:eastAsia="宋体" w:cs="Times New Roman"/>
                <w:snapToGrid/>
                <w:color w:val="auto"/>
                <w:sz w:val="21"/>
                <w:szCs w:val="20"/>
              </w:rPr>
              <w:drawing>
                <wp:inline distT="0" distB="0" distL="114300" distR="114300">
                  <wp:extent cx="3598545" cy="2310130"/>
                  <wp:effectExtent l="0" t="0" r="8255" b="1270"/>
                  <wp:docPr id="20" name="图片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95"/>
                          <pic:cNvPicPr>
                            <a:picLocks noChangeAspect="1"/>
                          </pic:cNvPicPr>
                        </pic:nvPicPr>
                        <pic:blipFill>
                          <a:blip r:embed="rId44"/>
                          <a:stretch>
                            <a:fillRect/>
                          </a:stretch>
                        </pic:blipFill>
                        <pic:spPr>
                          <a:xfrm>
                            <a:off x="0" y="0"/>
                            <a:ext cx="3598545" cy="2310130"/>
                          </a:xfrm>
                          <a:prstGeom prst="rect">
                            <a:avLst/>
                          </a:prstGeom>
                          <a:noFill/>
                          <a:ln>
                            <a:noFill/>
                          </a:ln>
                        </pic:spPr>
                      </pic:pic>
                    </a:graphicData>
                  </a:graphic>
                </wp:inline>
              </w:drawing>
            </w:r>
          </w:p>
        </w:tc>
        <w:tc>
          <w:tcPr>
            <w:tcW w:w="1160" w:type="pct"/>
            <w:noWrap w:val="0"/>
            <w:vAlign w:val="center"/>
          </w:tcPr>
          <w:p w14:paraId="45D89B91">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食堂卫生许可证及人员健康证上墙</w:t>
            </w:r>
          </w:p>
        </w:tc>
      </w:tr>
      <w:tr w14:paraId="7A257E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199F826C">
            <w:pPr>
              <w:pStyle w:val="61"/>
              <w:spacing w:line="240" w:lineRule="auto"/>
              <w:rPr>
                <w:rStyle w:val="62"/>
                <w:color w:val="auto"/>
                <w:sz w:val="21"/>
                <w:szCs w:val="20"/>
                <w:rPrChange w:id="40" w:author="yong cai" w:date="2025-09-12T14:46:00Z">
                  <w:rPr>
                    <w:rStyle w:val="62"/>
                    <w:sz w:val="28"/>
                    <w:szCs w:val="28"/>
                  </w:rPr>
                </w:rPrChange>
              </w:rPr>
            </w:pPr>
          </w:p>
        </w:tc>
        <w:tc>
          <w:tcPr>
            <w:tcW w:w="3240" w:type="pct"/>
            <w:noWrap w:val="0"/>
            <w:vAlign w:val="center"/>
          </w:tcPr>
          <w:p w14:paraId="1776C159">
            <w:pPr>
              <w:pStyle w:val="61"/>
              <w:spacing w:line="240" w:lineRule="auto"/>
              <w:rPr>
                <w:rStyle w:val="62"/>
                <w:color w:val="auto"/>
                <w:sz w:val="21"/>
                <w:szCs w:val="20"/>
                <w:rPrChange w:id="41" w:author="yong cai" w:date="2025-09-12T14:46:00Z">
                  <w:rPr>
                    <w:rStyle w:val="62"/>
                    <w:sz w:val="28"/>
                    <w:szCs w:val="28"/>
                  </w:rPr>
                </w:rPrChange>
              </w:rPr>
            </w:pPr>
            <w:r>
              <w:rPr>
                <w:rStyle w:val="62"/>
                <w:snapToGrid/>
                <w:color w:val="auto"/>
                <w:sz w:val="21"/>
                <w:szCs w:val="20"/>
                <w:rPrChange w:id="43" w:author="yong cai" w:date="2025-09-12T14:46:00Z">
                  <w:rPr>
                    <w:rStyle w:val="62"/>
                    <w:snapToGrid/>
                    <w:sz w:val="28"/>
                    <w:szCs w:val="28"/>
                  </w:rPr>
                </w:rPrChange>
              </w:rPr>
              <w:drawing>
                <wp:inline distT="0" distB="0" distL="114300" distR="114300">
                  <wp:extent cx="2638425" cy="1925955"/>
                  <wp:effectExtent l="0" t="0" r="3175" b="4445"/>
                  <wp:docPr id="21"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96"/>
                          <pic:cNvPicPr>
                            <a:picLocks noChangeAspect="1"/>
                          </pic:cNvPicPr>
                        </pic:nvPicPr>
                        <pic:blipFill>
                          <a:blip r:embed="rId45"/>
                          <a:stretch>
                            <a:fillRect/>
                          </a:stretch>
                        </pic:blipFill>
                        <pic:spPr>
                          <a:xfrm>
                            <a:off x="0" y="0"/>
                            <a:ext cx="2638425" cy="1925955"/>
                          </a:xfrm>
                          <a:prstGeom prst="rect">
                            <a:avLst/>
                          </a:prstGeom>
                          <a:noFill/>
                          <a:ln>
                            <a:noFill/>
                          </a:ln>
                        </pic:spPr>
                      </pic:pic>
                    </a:graphicData>
                  </a:graphic>
                </wp:inline>
              </w:drawing>
            </w:r>
          </w:p>
        </w:tc>
        <w:tc>
          <w:tcPr>
            <w:tcW w:w="1160" w:type="pct"/>
            <w:noWrap w:val="0"/>
            <w:vAlign w:val="center"/>
          </w:tcPr>
          <w:p w14:paraId="093EF623">
            <w:pPr>
              <w:pStyle w:val="61"/>
              <w:spacing w:line="240" w:lineRule="auto"/>
              <w:rPr>
                <w:rStyle w:val="62"/>
                <w:color w:val="auto"/>
                <w:sz w:val="21"/>
                <w:szCs w:val="20"/>
                <w:rPrChange w:id="44" w:author="yong cai" w:date="2025-09-12T14:46:00Z">
                  <w:rPr>
                    <w:rStyle w:val="62"/>
                    <w:sz w:val="28"/>
                    <w:szCs w:val="28"/>
                  </w:rPr>
                </w:rPrChange>
              </w:rPr>
            </w:pPr>
            <w:r>
              <w:rPr>
                <w:rStyle w:val="62"/>
                <w:rFonts w:hint="default"/>
                <w:color w:val="auto"/>
                <w:sz w:val="21"/>
                <w:szCs w:val="20"/>
                <w:rPrChange w:id="45" w:author="yong cai" w:date="2025-09-12T14:46:00Z">
                  <w:rPr>
                    <w:rStyle w:val="62"/>
                    <w:rFonts w:hint="eastAsia"/>
                    <w:sz w:val="28"/>
                    <w:szCs w:val="28"/>
                  </w:rPr>
                </w:rPrChange>
              </w:rPr>
              <w:t>厕所、卫生设施定期消毒</w:t>
            </w:r>
          </w:p>
        </w:tc>
      </w:tr>
      <w:tr w14:paraId="1CE0BD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noWrap w:val="0"/>
            <w:vAlign w:val="center"/>
          </w:tcPr>
          <w:p w14:paraId="5A7E0213">
            <w:pPr>
              <w:pStyle w:val="61"/>
              <w:spacing w:line="240" w:lineRule="auto"/>
              <w:rPr>
                <w:rFonts w:eastAsia="宋体" w:cs="Times New Roman"/>
                <w:color w:val="auto"/>
              </w:rPr>
            </w:pPr>
            <w:r>
              <w:rPr>
                <w:rFonts w:hint="eastAsia" w:eastAsia="宋体" w:cs="Times New Roman"/>
                <w:color w:val="auto"/>
              </w:rPr>
              <w:t>结构材料资源利用</w:t>
            </w:r>
          </w:p>
        </w:tc>
        <w:tc>
          <w:tcPr>
            <w:tcW w:w="3240" w:type="pct"/>
            <w:noWrap w:val="0"/>
            <w:vAlign w:val="center"/>
          </w:tcPr>
          <w:p w14:paraId="356307FD">
            <w:pPr>
              <w:pStyle w:val="61"/>
              <w:spacing w:line="240" w:lineRule="auto"/>
              <w:rPr>
                <w:rFonts w:eastAsia="宋体" w:cs="Times New Roman"/>
                <w:color w:val="auto"/>
              </w:rPr>
            </w:pPr>
            <w:r>
              <w:rPr>
                <w:rFonts w:eastAsia="宋体" w:cs="Times New Roman"/>
                <w:color w:val="auto"/>
              </w:rPr>
              <w:drawing>
                <wp:inline distT="0" distB="0" distL="114300" distR="114300">
                  <wp:extent cx="2587625" cy="1748155"/>
                  <wp:effectExtent l="0" t="0" r="3175" b="4445"/>
                  <wp:docPr id="22" name="图片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97"/>
                          <pic:cNvPicPr>
                            <a:picLocks noChangeAspect="1"/>
                          </pic:cNvPicPr>
                        </pic:nvPicPr>
                        <pic:blipFill>
                          <a:blip r:embed="rId46"/>
                          <a:stretch>
                            <a:fillRect/>
                          </a:stretch>
                        </pic:blipFill>
                        <pic:spPr>
                          <a:xfrm>
                            <a:off x="0" y="0"/>
                            <a:ext cx="2587625" cy="1748155"/>
                          </a:xfrm>
                          <a:prstGeom prst="rect">
                            <a:avLst/>
                          </a:prstGeom>
                          <a:noFill/>
                          <a:ln>
                            <a:noFill/>
                          </a:ln>
                        </pic:spPr>
                      </pic:pic>
                    </a:graphicData>
                  </a:graphic>
                </wp:inline>
              </w:drawing>
            </w:r>
          </w:p>
        </w:tc>
        <w:tc>
          <w:tcPr>
            <w:tcW w:w="1160" w:type="pct"/>
            <w:noWrap w:val="0"/>
            <w:vAlign w:val="center"/>
          </w:tcPr>
          <w:p w14:paraId="3BF8CF8A">
            <w:pPr>
              <w:pStyle w:val="61"/>
              <w:spacing w:line="240" w:lineRule="auto"/>
              <w:rPr>
                <w:rFonts w:eastAsia="宋体" w:cs="Times New Roman"/>
                <w:color w:val="auto"/>
              </w:rPr>
            </w:pPr>
            <w:r>
              <w:rPr>
                <w:rFonts w:hint="eastAsia" w:eastAsia="宋体" w:cs="Times New Roman"/>
                <w:color w:val="auto"/>
              </w:rPr>
              <w:t>采用商品混凝土</w:t>
            </w:r>
          </w:p>
        </w:tc>
      </w:tr>
      <w:tr w14:paraId="42C780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vMerge w:val="restart"/>
            <w:noWrap w:val="0"/>
            <w:vAlign w:val="center"/>
          </w:tcPr>
          <w:p w14:paraId="17DB7F5C">
            <w:pPr>
              <w:pStyle w:val="61"/>
              <w:spacing w:line="240" w:lineRule="auto"/>
              <w:rPr>
                <w:rFonts w:eastAsia="宋体" w:cs="Times New Roman"/>
                <w:color w:val="auto"/>
              </w:rPr>
            </w:pPr>
            <w:r>
              <w:rPr>
                <w:rFonts w:hint="eastAsia" w:eastAsia="宋体" w:cs="Times New Roman"/>
                <w:color w:val="auto"/>
              </w:rPr>
              <w:t>结构材料资源利用</w:t>
            </w:r>
          </w:p>
        </w:tc>
        <w:tc>
          <w:tcPr>
            <w:tcW w:w="3240" w:type="pct"/>
            <w:noWrap w:val="0"/>
            <w:vAlign w:val="center"/>
          </w:tcPr>
          <w:p w14:paraId="601E7DEC">
            <w:pPr>
              <w:pStyle w:val="61"/>
              <w:spacing w:line="240" w:lineRule="auto"/>
              <w:rPr>
                <w:rStyle w:val="62"/>
                <w:rFonts w:eastAsia="宋体" w:cs="Times New Roman"/>
                <w:color w:val="auto"/>
                <w:sz w:val="21"/>
                <w:szCs w:val="20"/>
              </w:rPr>
            </w:pPr>
            <w:r>
              <w:rPr>
                <w:rStyle w:val="62"/>
                <w:rFonts w:eastAsia="宋体" w:cs="Times New Roman"/>
                <w:snapToGrid/>
                <w:color w:val="auto"/>
                <w:sz w:val="21"/>
                <w:szCs w:val="20"/>
              </w:rPr>
              <w:drawing>
                <wp:inline distT="0" distB="0" distL="114300" distR="114300">
                  <wp:extent cx="2653665" cy="2056130"/>
                  <wp:effectExtent l="0" t="0" r="635" b="1270"/>
                  <wp:docPr id="23" name="图片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98"/>
                          <pic:cNvPicPr>
                            <a:picLocks noChangeAspect="1"/>
                          </pic:cNvPicPr>
                        </pic:nvPicPr>
                        <pic:blipFill>
                          <a:blip r:embed="rId47"/>
                          <a:stretch>
                            <a:fillRect/>
                          </a:stretch>
                        </pic:blipFill>
                        <pic:spPr>
                          <a:xfrm>
                            <a:off x="0" y="0"/>
                            <a:ext cx="2653665" cy="2056130"/>
                          </a:xfrm>
                          <a:prstGeom prst="rect">
                            <a:avLst/>
                          </a:prstGeom>
                          <a:noFill/>
                          <a:ln>
                            <a:noFill/>
                          </a:ln>
                        </pic:spPr>
                      </pic:pic>
                    </a:graphicData>
                  </a:graphic>
                </wp:inline>
              </w:drawing>
            </w:r>
          </w:p>
        </w:tc>
        <w:tc>
          <w:tcPr>
            <w:tcW w:w="1160" w:type="pct"/>
            <w:noWrap w:val="0"/>
            <w:vAlign w:val="center"/>
          </w:tcPr>
          <w:p w14:paraId="46694A8C">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采用钢筋直螺纹连接，减少钢筋用量</w:t>
            </w:r>
          </w:p>
        </w:tc>
      </w:tr>
      <w:tr w14:paraId="25F018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1E55342C">
            <w:pPr>
              <w:pStyle w:val="61"/>
              <w:spacing w:line="240" w:lineRule="auto"/>
              <w:rPr>
                <w:rFonts w:eastAsia="宋体" w:cs="Times New Roman"/>
                <w:color w:val="auto"/>
              </w:rPr>
            </w:pPr>
          </w:p>
        </w:tc>
        <w:tc>
          <w:tcPr>
            <w:tcW w:w="3240" w:type="pct"/>
            <w:noWrap w:val="0"/>
            <w:vAlign w:val="center"/>
          </w:tcPr>
          <w:p w14:paraId="6E07010F">
            <w:pPr>
              <w:pStyle w:val="61"/>
              <w:spacing w:line="240" w:lineRule="auto"/>
              <w:rPr>
                <w:rFonts w:eastAsia="宋体" w:cs="Times New Roman"/>
                <w:color w:val="auto"/>
              </w:rPr>
            </w:pPr>
            <w:r>
              <w:rPr>
                <w:rFonts w:eastAsia="宋体" w:cs="Times New Roman"/>
                <w:color w:val="auto"/>
              </w:rPr>
              <w:drawing>
                <wp:inline distT="0" distB="0" distL="114300" distR="114300">
                  <wp:extent cx="2679065" cy="2222500"/>
                  <wp:effectExtent l="0" t="0" r="635" b="0"/>
                  <wp:docPr id="24" name="图片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99"/>
                          <pic:cNvPicPr>
                            <a:picLocks noChangeAspect="1"/>
                          </pic:cNvPicPr>
                        </pic:nvPicPr>
                        <pic:blipFill>
                          <a:blip r:embed="rId48"/>
                          <a:stretch>
                            <a:fillRect/>
                          </a:stretch>
                        </pic:blipFill>
                        <pic:spPr>
                          <a:xfrm>
                            <a:off x="0" y="0"/>
                            <a:ext cx="2679065" cy="2222500"/>
                          </a:xfrm>
                          <a:prstGeom prst="rect">
                            <a:avLst/>
                          </a:prstGeom>
                          <a:noFill/>
                          <a:ln>
                            <a:noFill/>
                          </a:ln>
                        </pic:spPr>
                      </pic:pic>
                    </a:graphicData>
                  </a:graphic>
                </wp:inline>
              </w:drawing>
            </w:r>
          </w:p>
        </w:tc>
        <w:tc>
          <w:tcPr>
            <w:tcW w:w="1160" w:type="pct"/>
            <w:noWrap w:val="0"/>
            <w:vAlign w:val="center"/>
          </w:tcPr>
          <w:p w14:paraId="765DD073">
            <w:pPr>
              <w:pStyle w:val="61"/>
              <w:spacing w:line="240" w:lineRule="auto"/>
              <w:rPr>
                <w:rFonts w:eastAsia="宋体" w:cs="Times New Roman"/>
                <w:color w:val="auto"/>
              </w:rPr>
            </w:pPr>
            <w:r>
              <w:rPr>
                <w:rFonts w:hint="eastAsia" w:eastAsia="宋体" w:cs="Times New Roman"/>
                <w:color w:val="auto"/>
              </w:rPr>
              <w:t>混凝土浇筑后用余料回收管回收</w:t>
            </w:r>
          </w:p>
        </w:tc>
      </w:tr>
      <w:tr w14:paraId="3D79FD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07B48772">
            <w:pPr>
              <w:pStyle w:val="61"/>
              <w:spacing w:line="240" w:lineRule="auto"/>
              <w:rPr>
                <w:rFonts w:eastAsia="宋体" w:cs="Times New Roman"/>
                <w:color w:val="auto"/>
              </w:rPr>
            </w:pPr>
          </w:p>
        </w:tc>
        <w:tc>
          <w:tcPr>
            <w:tcW w:w="3240" w:type="pct"/>
            <w:noWrap w:val="0"/>
            <w:vAlign w:val="center"/>
          </w:tcPr>
          <w:p w14:paraId="5CC8C2C7">
            <w:pPr>
              <w:pStyle w:val="61"/>
              <w:spacing w:line="240" w:lineRule="auto"/>
              <w:rPr>
                <w:rFonts w:eastAsia="宋体" w:cs="Times New Roman"/>
                <w:color w:val="auto"/>
              </w:rPr>
            </w:pPr>
            <w:r>
              <w:rPr>
                <w:rFonts w:eastAsia="宋体" w:cs="Times New Roman"/>
                <w:color w:val="auto"/>
              </w:rPr>
              <w:drawing>
                <wp:inline distT="0" distB="0" distL="114300" distR="114300">
                  <wp:extent cx="2802890" cy="2345055"/>
                  <wp:effectExtent l="0" t="0" r="3810" b="4445"/>
                  <wp:docPr id="25" name="图片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00"/>
                          <pic:cNvPicPr>
                            <a:picLocks noChangeAspect="1"/>
                          </pic:cNvPicPr>
                        </pic:nvPicPr>
                        <pic:blipFill>
                          <a:blip r:embed="rId49"/>
                          <a:srcRect l="20721" t="65839" r="54675" b="19595"/>
                          <a:stretch>
                            <a:fillRect/>
                          </a:stretch>
                        </pic:blipFill>
                        <pic:spPr>
                          <a:xfrm>
                            <a:off x="0" y="0"/>
                            <a:ext cx="2802890" cy="2345055"/>
                          </a:xfrm>
                          <a:prstGeom prst="rect">
                            <a:avLst/>
                          </a:prstGeom>
                          <a:noFill/>
                          <a:ln>
                            <a:noFill/>
                          </a:ln>
                        </pic:spPr>
                      </pic:pic>
                    </a:graphicData>
                  </a:graphic>
                </wp:inline>
              </w:drawing>
            </w:r>
          </w:p>
        </w:tc>
        <w:tc>
          <w:tcPr>
            <w:tcW w:w="1160" w:type="pct"/>
            <w:noWrap w:val="0"/>
            <w:vAlign w:val="center"/>
          </w:tcPr>
          <w:p w14:paraId="58C2F2CA">
            <w:pPr>
              <w:pStyle w:val="61"/>
              <w:spacing w:line="240" w:lineRule="auto"/>
              <w:rPr>
                <w:rFonts w:eastAsia="宋体" w:cs="Times New Roman"/>
                <w:color w:val="auto"/>
              </w:rPr>
            </w:pPr>
            <w:r>
              <w:rPr>
                <w:rFonts w:hint="eastAsia" w:eastAsia="宋体" w:cs="Times New Roman"/>
                <w:color w:val="auto"/>
              </w:rPr>
              <w:t>优化钢筋配料方案，严格下料</w:t>
            </w:r>
          </w:p>
        </w:tc>
      </w:tr>
      <w:tr w14:paraId="73DD2C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vMerge w:val="restart"/>
            <w:noWrap w:val="0"/>
            <w:vAlign w:val="center"/>
          </w:tcPr>
          <w:p w14:paraId="089B0197">
            <w:pPr>
              <w:pStyle w:val="61"/>
              <w:spacing w:line="240" w:lineRule="auto"/>
              <w:rPr>
                <w:rFonts w:eastAsia="宋体" w:cs="Times New Roman"/>
                <w:color w:val="auto"/>
              </w:rPr>
            </w:pPr>
            <w:r>
              <w:rPr>
                <w:rFonts w:hint="eastAsia" w:eastAsia="宋体" w:cs="Times New Roman"/>
                <w:color w:val="auto"/>
              </w:rPr>
              <w:t>结构材料资源利用</w:t>
            </w:r>
          </w:p>
        </w:tc>
        <w:tc>
          <w:tcPr>
            <w:tcW w:w="3240" w:type="pct"/>
            <w:noWrap w:val="0"/>
            <w:vAlign w:val="center"/>
          </w:tcPr>
          <w:p w14:paraId="37BCC761">
            <w:pPr>
              <w:pStyle w:val="61"/>
              <w:spacing w:line="240" w:lineRule="auto"/>
              <w:rPr>
                <w:rFonts w:eastAsia="宋体" w:cs="Times New Roman"/>
                <w:color w:val="auto"/>
              </w:rPr>
            </w:pPr>
            <w:r>
              <w:rPr>
                <w:rFonts w:eastAsia="宋体" w:cs="Times New Roman"/>
                <w:color w:val="auto"/>
              </w:rPr>
              <w:drawing>
                <wp:inline distT="0" distB="0" distL="114300" distR="114300">
                  <wp:extent cx="2883535" cy="1952625"/>
                  <wp:effectExtent l="0" t="0" r="12065" b="3175"/>
                  <wp:docPr id="26" name="图片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01"/>
                          <pic:cNvPicPr>
                            <a:picLocks noChangeAspect="1"/>
                          </pic:cNvPicPr>
                        </pic:nvPicPr>
                        <pic:blipFill>
                          <a:blip r:embed="rId50"/>
                          <a:stretch>
                            <a:fillRect/>
                          </a:stretch>
                        </pic:blipFill>
                        <pic:spPr>
                          <a:xfrm>
                            <a:off x="0" y="0"/>
                            <a:ext cx="2883535" cy="1952625"/>
                          </a:xfrm>
                          <a:prstGeom prst="rect">
                            <a:avLst/>
                          </a:prstGeom>
                          <a:noFill/>
                          <a:ln>
                            <a:noFill/>
                          </a:ln>
                        </pic:spPr>
                      </pic:pic>
                    </a:graphicData>
                  </a:graphic>
                </wp:inline>
              </w:drawing>
            </w:r>
          </w:p>
        </w:tc>
        <w:tc>
          <w:tcPr>
            <w:tcW w:w="1160" w:type="pct"/>
            <w:noWrap w:val="0"/>
            <w:vAlign w:val="center"/>
          </w:tcPr>
          <w:p w14:paraId="460AE8DD">
            <w:pPr>
              <w:pStyle w:val="61"/>
              <w:spacing w:line="240" w:lineRule="auto"/>
              <w:rPr>
                <w:rFonts w:eastAsia="宋体" w:cs="Times New Roman"/>
                <w:color w:val="auto"/>
              </w:rPr>
            </w:pPr>
            <w:r>
              <w:rPr>
                <w:rFonts w:hint="eastAsia" w:eastAsia="宋体" w:cs="Times New Roman"/>
                <w:color w:val="auto"/>
              </w:rPr>
              <w:t>废钢筋制作马凳</w:t>
            </w:r>
          </w:p>
        </w:tc>
      </w:tr>
      <w:tr w14:paraId="440E49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613749BB">
            <w:pPr>
              <w:pStyle w:val="61"/>
              <w:spacing w:line="240" w:lineRule="auto"/>
              <w:rPr>
                <w:rFonts w:eastAsia="宋体" w:cs="Times New Roman"/>
                <w:color w:val="auto"/>
              </w:rPr>
            </w:pPr>
          </w:p>
        </w:tc>
        <w:tc>
          <w:tcPr>
            <w:tcW w:w="3240" w:type="pct"/>
            <w:noWrap w:val="0"/>
            <w:vAlign w:val="center"/>
          </w:tcPr>
          <w:p w14:paraId="7A4F0C2E">
            <w:pPr>
              <w:pStyle w:val="61"/>
              <w:spacing w:line="240" w:lineRule="auto"/>
              <w:rPr>
                <w:rStyle w:val="62"/>
                <w:rFonts w:eastAsia="宋体" w:cs="Times New Roman"/>
                <w:color w:val="auto"/>
                <w:sz w:val="21"/>
                <w:szCs w:val="20"/>
              </w:rPr>
            </w:pPr>
            <w:r>
              <w:rPr>
                <w:rStyle w:val="62"/>
                <w:rFonts w:eastAsia="宋体" w:cs="Times New Roman"/>
                <w:snapToGrid/>
                <w:color w:val="auto"/>
                <w:sz w:val="21"/>
                <w:szCs w:val="20"/>
              </w:rPr>
              <w:drawing>
                <wp:inline distT="0" distB="0" distL="114300" distR="114300">
                  <wp:extent cx="2767330" cy="1963420"/>
                  <wp:effectExtent l="0" t="0" r="1270" b="5080"/>
                  <wp:docPr id="27" name="图片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02"/>
                          <pic:cNvPicPr>
                            <a:picLocks noChangeAspect="1"/>
                          </pic:cNvPicPr>
                        </pic:nvPicPr>
                        <pic:blipFill>
                          <a:blip r:embed="rId51"/>
                          <a:stretch>
                            <a:fillRect/>
                          </a:stretch>
                        </pic:blipFill>
                        <pic:spPr>
                          <a:xfrm>
                            <a:off x="0" y="0"/>
                            <a:ext cx="2767330" cy="1963420"/>
                          </a:xfrm>
                          <a:prstGeom prst="rect">
                            <a:avLst/>
                          </a:prstGeom>
                          <a:noFill/>
                          <a:ln>
                            <a:noFill/>
                          </a:ln>
                        </pic:spPr>
                      </pic:pic>
                    </a:graphicData>
                  </a:graphic>
                </wp:inline>
              </w:drawing>
            </w:r>
          </w:p>
        </w:tc>
        <w:tc>
          <w:tcPr>
            <w:tcW w:w="1160" w:type="pct"/>
            <w:noWrap w:val="0"/>
            <w:vAlign w:val="center"/>
          </w:tcPr>
          <w:p w14:paraId="34871944">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混凝土余料制作混凝土内撑</w:t>
            </w:r>
          </w:p>
        </w:tc>
      </w:tr>
      <w:tr w14:paraId="060AA1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629F0C7C">
            <w:pPr>
              <w:pStyle w:val="61"/>
              <w:spacing w:line="240" w:lineRule="auto"/>
              <w:rPr>
                <w:rFonts w:eastAsia="宋体" w:cs="Times New Roman"/>
                <w:color w:val="auto"/>
              </w:rPr>
            </w:pPr>
          </w:p>
        </w:tc>
        <w:tc>
          <w:tcPr>
            <w:tcW w:w="3240" w:type="pct"/>
            <w:noWrap w:val="0"/>
            <w:vAlign w:val="center"/>
          </w:tcPr>
          <w:p w14:paraId="28D5AA9F">
            <w:pPr>
              <w:pStyle w:val="61"/>
              <w:spacing w:line="240" w:lineRule="auto"/>
              <w:rPr>
                <w:rStyle w:val="62"/>
                <w:rFonts w:eastAsia="宋体" w:cs="Times New Roman"/>
                <w:color w:val="auto"/>
                <w:sz w:val="21"/>
                <w:szCs w:val="20"/>
              </w:rPr>
            </w:pPr>
            <w:r>
              <w:rPr>
                <w:rStyle w:val="62"/>
                <w:rFonts w:eastAsia="宋体" w:cs="Times New Roman"/>
                <w:snapToGrid/>
                <w:color w:val="auto"/>
                <w:sz w:val="21"/>
                <w:szCs w:val="20"/>
              </w:rPr>
              <w:drawing>
                <wp:inline distT="0" distB="0" distL="114300" distR="114300">
                  <wp:extent cx="2874645" cy="1968500"/>
                  <wp:effectExtent l="0" t="0" r="8255" b="0"/>
                  <wp:docPr id="28" name="图片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03"/>
                          <pic:cNvPicPr>
                            <a:picLocks noChangeAspect="1"/>
                          </pic:cNvPicPr>
                        </pic:nvPicPr>
                        <pic:blipFill>
                          <a:blip r:embed="rId52"/>
                          <a:srcRect b="9721"/>
                          <a:stretch>
                            <a:fillRect/>
                          </a:stretch>
                        </pic:blipFill>
                        <pic:spPr>
                          <a:xfrm>
                            <a:off x="0" y="0"/>
                            <a:ext cx="2874645" cy="1968500"/>
                          </a:xfrm>
                          <a:prstGeom prst="rect">
                            <a:avLst/>
                          </a:prstGeom>
                          <a:noFill/>
                          <a:ln>
                            <a:noFill/>
                          </a:ln>
                        </pic:spPr>
                      </pic:pic>
                    </a:graphicData>
                  </a:graphic>
                </wp:inline>
              </w:drawing>
            </w:r>
          </w:p>
        </w:tc>
        <w:tc>
          <w:tcPr>
            <w:tcW w:w="1160" w:type="pct"/>
            <w:noWrap w:val="0"/>
            <w:vAlign w:val="center"/>
          </w:tcPr>
          <w:p w14:paraId="638B7EC5">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混凝土余料制作混凝土过梁</w:t>
            </w:r>
          </w:p>
        </w:tc>
      </w:tr>
      <w:tr w14:paraId="2F2C03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noWrap w:val="0"/>
            <w:vAlign w:val="center"/>
          </w:tcPr>
          <w:p w14:paraId="4C6FBEA6">
            <w:pPr>
              <w:pStyle w:val="61"/>
              <w:spacing w:line="240" w:lineRule="auto"/>
              <w:rPr>
                <w:rFonts w:eastAsia="宋体" w:cs="Times New Roman"/>
                <w:color w:val="auto"/>
              </w:rPr>
            </w:pPr>
            <w:r>
              <w:rPr>
                <w:rFonts w:hint="eastAsia" w:eastAsia="宋体" w:cs="Times New Roman"/>
                <w:color w:val="auto"/>
              </w:rPr>
              <w:t>结构材料资源利用</w:t>
            </w:r>
          </w:p>
        </w:tc>
        <w:tc>
          <w:tcPr>
            <w:tcW w:w="3240" w:type="pct"/>
            <w:noWrap w:val="0"/>
            <w:vAlign w:val="center"/>
          </w:tcPr>
          <w:p w14:paraId="7A560D3C">
            <w:pPr>
              <w:pStyle w:val="61"/>
              <w:spacing w:line="240" w:lineRule="auto"/>
              <w:rPr>
                <w:rFonts w:eastAsia="宋体" w:cs="Times New Roman"/>
                <w:color w:val="auto"/>
              </w:rPr>
            </w:pPr>
            <w:r>
              <w:rPr>
                <w:rFonts w:eastAsia="宋体" w:cs="Times New Roman"/>
                <w:color w:val="auto"/>
              </w:rPr>
              <w:drawing>
                <wp:inline distT="0" distB="0" distL="114300" distR="114300">
                  <wp:extent cx="3683635" cy="2268855"/>
                  <wp:effectExtent l="0" t="0" r="12065" b="4445"/>
                  <wp:docPr id="29" name="图片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04"/>
                          <pic:cNvPicPr>
                            <a:picLocks noChangeAspect="1"/>
                          </pic:cNvPicPr>
                        </pic:nvPicPr>
                        <pic:blipFill>
                          <a:blip r:embed="rId53"/>
                          <a:stretch>
                            <a:fillRect/>
                          </a:stretch>
                        </pic:blipFill>
                        <pic:spPr>
                          <a:xfrm>
                            <a:off x="0" y="0"/>
                            <a:ext cx="3683635" cy="2268855"/>
                          </a:xfrm>
                          <a:prstGeom prst="rect">
                            <a:avLst/>
                          </a:prstGeom>
                          <a:noFill/>
                          <a:ln>
                            <a:noFill/>
                          </a:ln>
                        </pic:spPr>
                      </pic:pic>
                    </a:graphicData>
                  </a:graphic>
                </wp:inline>
              </w:drawing>
            </w:r>
          </w:p>
        </w:tc>
        <w:tc>
          <w:tcPr>
            <w:tcW w:w="1160" w:type="pct"/>
            <w:noWrap w:val="0"/>
            <w:vAlign w:val="center"/>
          </w:tcPr>
          <w:p w14:paraId="7906BA97">
            <w:pPr>
              <w:pStyle w:val="61"/>
              <w:spacing w:line="240" w:lineRule="auto"/>
              <w:rPr>
                <w:rFonts w:eastAsia="宋体" w:cs="Times New Roman"/>
                <w:color w:val="auto"/>
              </w:rPr>
            </w:pPr>
            <w:r>
              <w:rPr>
                <w:rFonts w:hint="eastAsia" w:eastAsia="宋体" w:cs="Times New Roman"/>
                <w:color w:val="auto"/>
              </w:rPr>
              <w:t>定型可周转式安全防护设施</w:t>
            </w:r>
          </w:p>
        </w:tc>
      </w:tr>
      <w:tr w14:paraId="717858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noWrap w:val="0"/>
            <w:vAlign w:val="center"/>
          </w:tcPr>
          <w:p w14:paraId="06954410">
            <w:pPr>
              <w:pStyle w:val="61"/>
              <w:spacing w:line="240" w:lineRule="auto"/>
              <w:rPr>
                <w:rFonts w:eastAsia="宋体" w:cs="Times New Roman"/>
                <w:color w:val="auto"/>
              </w:rPr>
            </w:pPr>
            <w:r>
              <w:rPr>
                <w:rFonts w:hint="eastAsia" w:eastAsia="宋体" w:cs="Times New Roman"/>
                <w:color w:val="auto"/>
              </w:rPr>
              <w:t>周转材料资源利用</w:t>
            </w:r>
          </w:p>
        </w:tc>
        <w:tc>
          <w:tcPr>
            <w:tcW w:w="3240" w:type="pct"/>
            <w:noWrap w:val="0"/>
            <w:vAlign w:val="center"/>
          </w:tcPr>
          <w:p w14:paraId="78204A8A">
            <w:pPr>
              <w:pStyle w:val="61"/>
              <w:spacing w:line="240" w:lineRule="auto"/>
              <w:rPr>
                <w:rFonts w:eastAsia="宋体" w:cs="Times New Roman"/>
                <w:color w:val="auto"/>
              </w:rPr>
            </w:pPr>
            <w:r>
              <w:rPr>
                <w:rFonts w:eastAsia="宋体" w:cs="Times New Roman"/>
                <w:color w:val="auto"/>
              </w:rPr>
              <w:drawing>
                <wp:inline distT="0" distB="0" distL="114300" distR="114300">
                  <wp:extent cx="2868930" cy="1976755"/>
                  <wp:effectExtent l="0" t="0" r="1270" b="4445"/>
                  <wp:docPr id="30" name="图片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05"/>
                          <pic:cNvPicPr>
                            <a:picLocks noChangeAspect="1"/>
                          </pic:cNvPicPr>
                        </pic:nvPicPr>
                        <pic:blipFill>
                          <a:blip r:embed="rId54"/>
                          <a:srcRect l="9166" t="14505" b="13620"/>
                          <a:stretch>
                            <a:fillRect/>
                          </a:stretch>
                        </pic:blipFill>
                        <pic:spPr>
                          <a:xfrm>
                            <a:off x="0" y="0"/>
                            <a:ext cx="2868930" cy="1976755"/>
                          </a:xfrm>
                          <a:prstGeom prst="rect">
                            <a:avLst/>
                          </a:prstGeom>
                          <a:noFill/>
                          <a:ln>
                            <a:noFill/>
                          </a:ln>
                        </pic:spPr>
                      </pic:pic>
                    </a:graphicData>
                  </a:graphic>
                </wp:inline>
              </w:drawing>
            </w:r>
          </w:p>
        </w:tc>
        <w:tc>
          <w:tcPr>
            <w:tcW w:w="1160" w:type="pct"/>
            <w:noWrap w:val="0"/>
            <w:vAlign w:val="center"/>
          </w:tcPr>
          <w:p w14:paraId="2B87BF72">
            <w:pPr>
              <w:pStyle w:val="61"/>
              <w:spacing w:line="240" w:lineRule="auto"/>
              <w:rPr>
                <w:rFonts w:eastAsia="宋体" w:cs="Times New Roman"/>
                <w:color w:val="auto"/>
              </w:rPr>
            </w:pPr>
            <w:r>
              <w:rPr>
                <w:rFonts w:hint="eastAsia" w:eastAsia="宋体" w:cs="Times New Roman"/>
                <w:color w:val="auto"/>
              </w:rPr>
              <w:t>利用废模板，封堵预留洞口</w:t>
            </w:r>
          </w:p>
        </w:tc>
      </w:tr>
      <w:tr w14:paraId="6E7DE0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vMerge w:val="restart"/>
            <w:noWrap w:val="0"/>
            <w:vAlign w:val="center"/>
          </w:tcPr>
          <w:p w14:paraId="08208513">
            <w:pPr>
              <w:pStyle w:val="61"/>
              <w:spacing w:line="240" w:lineRule="auto"/>
              <w:rPr>
                <w:rFonts w:eastAsia="宋体" w:cs="Times New Roman"/>
                <w:color w:val="auto"/>
              </w:rPr>
            </w:pPr>
            <w:r>
              <w:rPr>
                <w:rFonts w:hint="eastAsia" w:eastAsia="宋体" w:cs="Times New Roman"/>
                <w:color w:val="auto"/>
              </w:rPr>
              <w:t>资源再生利用</w:t>
            </w:r>
          </w:p>
        </w:tc>
        <w:tc>
          <w:tcPr>
            <w:tcW w:w="3240" w:type="pct"/>
            <w:noWrap w:val="0"/>
            <w:vAlign w:val="center"/>
          </w:tcPr>
          <w:p w14:paraId="017EE9C6">
            <w:pPr>
              <w:pStyle w:val="61"/>
              <w:spacing w:line="240" w:lineRule="auto"/>
              <w:rPr>
                <w:rFonts w:eastAsia="宋体" w:cs="Times New Roman"/>
                <w:color w:val="auto"/>
              </w:rPr>
            </w:pPr>
            <w:r>
              <w:rPr>
                <w:rFonts w:eastAsia="宋体" w:cs="Times New Roman"/>
                <w:color w:val="auto"/>
              </w:rPr>
              <w:drawing>
                <wp:inline distT="0" distB="0" distL="114300" distR="114300">
                  <wp:extent cx="2582545" cy="1944370"/>
                  <wp:effectExtent l="0" t="0" r="8255" b="11430"/>
                  <wp:docPr id="31" name="图片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06"/>
                          <pic:cNvPicPr>
                            <a:picLocks noChangeAspect="1"/>
                          </pic:cNvPicPr>
                        </pic:nvPicPr>
                        <pic:blipFill>
                          <a:blip r:embed="rId55"/>
                          <a:stretch>
                            <a:fillRect/>
                          </a:stretch>
                        </pic:blipFill>
                        <pic:spPr>
                          <a:xfrm>
                            <a:off x="0" y="0"/>
                            <a:ext cx="2582545" cy="1944370"/>
                          </a:xfrm>
                          <a:prstGeom prst="rect">
                            <a:avLst/>
                          </a:prstGeom>
                          <a:noFill/>
                          <a:ln>
                            <a:noFill/>
                          </a:ln>
                        </pic:spPr>
                      </pic:pic>
                    </a:graphicData>
                  </a:graphic>
                </wp:inline>
              </w:drawing>
            </w:r>
          </w:p>
        </w:tc>
        <w:tc>
          <w:tcPr>
            <w:tcW w:w="1160" w:type="pct"/>
            <w:noWrap w:val="0"/>
            <w:vAlign w:val="center"/>
          </w:tcPr>
          <w:p w14:paraId="24C3048D">
            <w:pPr>
              <w:pStyle w:val="61"/>
              <w:spacing w:line="240" w:lineRule="auto"/>
              <w:rPr>
                <w:rFonts w:eastAsia="宋体" w:cs="Times New Roman"/>
                <w:color w:val="auto"/>
              </w:rPr>
            </w:pPr>
            <w:r>
              <w:rPr>
                <w:rFonts w:hint="eastAsia" w:eastAsia="宋体" w:cs="Times New Roman"/>
                <w:color w:val="auto"/>
              </w:rPr>
              <w:t>使用建筑再生材料制作的塑料马凳</w:t>
            </w:r>
          </w:p>
          <w:p w14:paraId="6EA5D96D">
            <w:pPr>
              <w:pStyle w:val="61"/>
              <w:spacing w:line="240" w:lineRule="auto"/>
              <w:rPr>
                <w:rFonts w:eastAsia="宋体" w:cs="Times New Roman"/>
                <w:color w:val="auto"/>
              </w:rPr>
            </w:pPr>
          </w:p>
        </w:tc>
      </w:tr>
      <w:tr w14:paraId="57968A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6AF8B087">
            <w:pPr>
              <w:pStyle w:val="61"/>
              <w:spacing w:line="240" w:lineRule="auto"/>
              <w:rPr>
                <w:rFonts w:eastAsia="宋体" w:cs="Times New Roman"/>
                <w:color w:val="auto"/>
              </w:rPr>
            </w:pPr>
          </w:p>
        </w:tc>
        <w:tc>
          <w:tcPr>
            <w:tcW w:w="3240" w:type="pct"/>
            <w:noWrap w:val="0"/>
            <w:vAlign w:val="center"/>
          </w:tcPr>
          <w:p w14:paraId="00793FAB">
            <w:pPr>
              <w:pStyle w:val="61"/>
              <w:spacing w:line="240" w:lineRule="auto"/>
              <w:rPr>
                <w:rStyle w:val="62"/>
                <w:rFonts w:eastAsia="宋体" w:cs="Times New Roman"/>
                <w:color w:val="auto"/>
                <w:sz w:val="21"/>
                <w:szCs w:val="20"/>
              </w:rPr>
            </w:pPr>
            <w:r>
              <w:rPr>
                <w:rStyle w:val="62"/>
                <w:rFonts w:eastAsia="宋体" w:cs="Times New Roman"/>
                <w:snapToGrid/>
                <w:color w:val="auto"/>
                <w:sz w:val="21"/>
                <w:szCs w:val="20"/>
              </w:rPr>
              <w:drawing>
                <wp:inline distT="0" distB="0" distL="114300" distR="114300">
                  <wp:extent cx="2269490" cy="2124710"/>
                  <wp:effectExtent l="0" t="0" r="3810" b="8890"/>
                  <wp:docPr id="32" name="图片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07"/>
                          <pic:cNvPicPr>
                            <a:picLocks noChangeAspect="1"/>
                          </pic:cNvPicPr>
                        </pic:nvPicPr>
                        <pic:blipFill>
                          <a:blip r:embed="rId56"/>
                          <a:srcRect r="5597"/>
                          <a:stretch>
                            <a:fillRect/>
                          </a:stretch>
                        </pic:blipFill>
                        <pic:spPr>
                          <a:xfrm>
                            <a:off x="0" y="0"/>
                            <a:ext cx="2269490" cy="2124710"/>
                          </a:xfrm>
                          <a:prstGeom prst="rect">
                            <a:avLst/>
                          </a:prstGeom>
                          <a:noFill/>
                          <a:ln>
                            <a:noFill/>
                          </a:ln>
                        </pic:spPr>
                      </pic:pic>
                    </a:graphicData>
                  </a:graphic>
                </wp:inline>
              </w:drawing>
            </w:r>
          </w:p>
        </w:tc>
        <w:tc>
          <w:tcPr>
            <w:tcW w:w="1160" w:type="pct"/>
            <w:noWrap w:val="0"/>
            <w:vAlign w:val="center"/>
          </w:tcPr>
          <w:p w14:paraId="453EF502">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废旧木枋回收，拼接处理后再使用</w:t>
            </w:r>
          </w:p>
        </w:tc>
      </w:tr>
      <w:tr w14:paraId="7D55AC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4E049A1E">
            <w:pPr>
              <w:pStyle w:val="61"/>
              <w:spacing w:line="240" w:lineRule="auto"/>
              <w:rPr>
                <w:rFonts w:eastAsia="宋体" w:cs="Times New Roman"/>
                <w:color w:val="auto"/>
              </w:rPr>
            </w:pPr>
          </w:p>
        </w:tc>
        <w:tc>
          <w:tcPr>
            <w:tcW w:w="3240" w:type="pct"/>
            <w:noWrap w:val="0"/>
            <w:vAlign w:val="center"/>
          </w:tcPr>
          <w:p w14:paraId="4023C8E4">
            <w:pPr>
              <w:pStyle w:val="61"/>
              <w:spacing w:line="240" w:lineRule="auto"/>
              <w:rPr>
                <w:rFonts w:eastAsia="宋体" w:cs="Times New Roman"/>
                <w:color w:val="auto"/>
              </w:rPr>
            </w:pPr>
            <w:r>
              <w:rPr>
                <w:rFonts w:eastAsia="宋体" w:cs="Times New Roman"/>
                <w:color w:val="auto"/>
              </w:rPr>
              <w:drawing>
                <wp:inline distT="0" distB="0" distL="114300" distR="114300">
                  <wp:extent cx="2822575" cy="2218055"/>
                  <wp:effectExtent l="0" t="0" r="9525" b="4445"/>
                  <wp:docPr id="33" name="图片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08"/>
                          <pic:cNvPicPr>
                            <a:picLocks noChangeAspect="1"/>
                          </pic:cNvPicPr>
                        </pic:nvPicPr>
                        <pic:blipFill>
                          <a:blip r:embed="rId57"/>
                          <a:srcRect r="6953"/>
                          <a:stretch>
                            <a:fillRect/>
                          </a:stretch>
                        </pic:blipFill>
                        <pic:spPr>
                          <a:xfrm>
                            <a:off x="0" y="0"/>
                            <a:ext cx="2822575" cy="2218055"/>
                          </a:xfrm>
                          <a:prstGeom prst="rect">
                            <a:avLst/>
                          </a:prstGeom>
                          <a:noFill/>
                          <a:ln>
                            <a:noFill/>
                          </a:ln>
                        </pic:spPr>
                      </pic:pic>
                    </a:graphicData>
                  </a:graphic>
                </wp:inline>
              </w:drawing>
            </w:r>
          </w:p>
        </w:tc>
        <w:tc>
          <w:tcPr>
            <w:tcW w:w="1160" w:type="pct"/>
            <w:noWrap w:val="0"/>
            <w:vAlign w:val="center"/>
          </w:tcPr>
          <w:p w14:paraId="569B24E6">
            <w:pPr>
              <w:pStyle w:val="61"/>
              <w:spacing w:line="240" w:lineRule="auto"/>
              <w:rPr>
                <w:rFonts w:eastAsia="宋体" w:cs="Times New Roman"/>
                <w:color w:val="auto"/>
              </w:rPr>
            </w:pPr>
            <w:r>
              <w:rPr>
                <w:rFonts w:hint="eastAsia" w:eastAsia="宋体" w:cs="Times New Roman"/>
                <w:color w:val="auto"/>
              </w:rPr>
              <w:t>水平结构覆盖养护，节省养护用水</w:t>
            </w:r>
          </w:p>
        </w:tc>
      </w:tr>
      <w:tr w14:paraId="1A7B9A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noWrap w:val="0"/>
            <w:vAlign w:val="center"/>
          </w:tcPr>
          <w:p w14:paraId="51AF5A6A">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节能与能源利用</w:t>
            </w:r>
          </w:p>
        </w:tc>
        <w:tc>
          <w:tcPr>
            <w:tcW w:w="3240" w:type="pct"/>
            <w:noWrap w:val="0"/>
            <w:vAlign w:val="center"/>
          </w:tcPr>
          <w:p w14:paraId="2F3F5362">
            <w:pPr>
              <w:pStyle w:val="61"/>
              <w:spacing w:line="240" w:lineRule="auto"/>
              <w:rPr>
                <w:rStyle w:val="62"/>
                <w:rFonts w:eastAsia="宋体" w:cs="Times New Roman"/>
                <w:color w:val="auto"/>
                <w:sz w:val="21"/>
                <w:szCs w:val="20"/>
              </w:rPr>
            </w:pPr>
            <w:r>
              <w:rPr>
                <w:rStyle w:val="62"/>
                <w:rFonts w:eastAsia="宋体" w:cs="Times New Roman"/>
                <w:snapToGrid/>
                <w:color w:val="auto"/>
                <w:sz w:val="21"/>
                <w:szCs w:val="20"/>
              </w:rPr>
              <w:drawing>
                <wp:inline distT="0" distB="0" distL="114300" distR="114300">
                  <wp:extent cx="2616835" cy="1468120"/>
                  <wp:effectExtent l="0" t="0" r="12065" b="5080"/>
                  <wp:docPr id="34" name="图片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09"/>
                          <pic:cNvPicPr>
                            <a:picLocks noChangeAspect="1"/>
                          </pic:cNvPicPr>
                        </pic:nvPicPr>
                        <pic:blipFill>
                          <a:blip r:embed="rId58"/>
                          <a:srcRect b="21313"/>
                          <a:stretch>
                            <a:fillRect/>
                          </a:stretch>
                        </pic:blipFill>
                        <pic:spPr>
                          <a:xfrm>
                            <a:off x="0" y="0"/>
                            <a:ext cx="2616835" cy="1468120"/>
                          </a:xfrm>
                          <a:prstGeom prst="rect">
                            <a:avLst/>
                          </a:prstGeom>
                          <a:noFill/>
                          <a:ln>
                            <a:noFill/>
                          </a:ln>
                        </pic:spPr>
                      </pic:pic>
                    </a:graphicData>
                  </a:graphic>
                </wp:inline>
              </w:drawing>
            </w:r>
          </w:p>
        </w:tc>
        <w:tc>
          <w:tcPr>
            <w:tcW w:w="1160" w:type="pct"/>
            <w:noWrap w:val="0"/>
            <w:vAlign w:val="center"/>
          </w:tcPr>
          <w:p w14:paraId="1FADAF48">
            <w:pPr>
              <w:pStyle w:val="61"/>
              <w:spacing w:line="240" w:lineRule="auto"/>
              <w:rPr>
                <w:rStyle w:val="62"/>
                <w:rFonts w:eastAsia="宋体" w:cs="Times New Roman"/>
                <w:color w:val="auto"/>
                <w:sz w:val="21"/>
                <w:szCs w:val="20"/>
              </w:rPr>
            </w:pPr>
            <w:r>
              <w:rPr>
                <w:rStyle w:val="62"/>
                <w:rFonts w:hint="default" w:eastAsia="宋体" w:cs="Times New Roman"/>
                <w:color w:val="auto"/>
                <w:sz w:val="21"/>
                <w:szCs w:val="20"/>
              </w:rPr>
              <w:t>现场使用节能灯照明</w:t>
            </w:r>
          </w:p>
        </w:tc>
      </w:tr>
      <w:tr w14:paraId="09F48D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vMerge w:val="restart"/>
            <w:noWrap w:val="0"/>
            <w:vAlign w:val="center"/>
          </w:tcPr>
          <w:p w14:paraId="760973E9">
            <w:pPr>
              <w:pStyle w:val="61"/>
              <w:spacing w:line="240" w:lineRule="auto"/>
              <w:rPr>
                <w:rFonts w:eastAsia="宋体" w:cs="Times New Roman"/>
                <w:color w:val="auto"/>
              </w:rPr>
            </w:pPr>
            <w:r>
              <w:rPr>
                <w:rFonts w:hint="eastAsia" w:eastAsia="宋体" w:cs="Times New Roman"/>
                <w:color w:val="auto"/>
              </w:rPr>
              <w:t>节能与能源利用</w:t>
            </w:r>
          </w:p>
        </w:tc>
        <w:tc>
          <w:tcPr>
            <w:tcW w:w="3240" w:type="pct"/>
            <w:noWrap w:val="0"/>
            <w:vAlign w:val="center"/>
          </w:tcPr>
          <w:p w14:paraId="64EE61F5">
            <w:pPr>
              <w:pStyle w:val="61"/>
              <w:spacing w:line="240" w:lineRule="auto"/>
              <w:rPr>
                <w:rFonts w:eastAsia="宋体" w:cs="Times New Roman"/>
                <w:color w:val="auto"/>
              </w:rPr>
            </w:pPr>
            <w:r>
              <w:rPr>
                <w:rFonts w:eastAsia="宋体" w:cs="Times New Roman"/>
                <w:color w:val="auto"/>
              </w:rPr>
              <w:drawing>
                <wp:inline distT="0" distB="0" distL="114300" distR="114300">
                  <wp:extent cx="2807970" cy="2199005"/>
                  <wp:effectExtent l="0" t="0" r="11430" b="10795"/>
                  <wp:docPr id="35" name="图片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10"/>
                          <pic:cNvPicPr>
                            <a:picLocks noChangeAspect="1"/>
                          </pic:cNvPicPr>
                        </pic:nvPicPr>
                        <pic:blipFill>
                          <a:blip r:embed="rId59"/>
                          <a:stretch>
                            <a:fillRect/>
                          </a:stretch>
                        </pic:blipFill>
                        <pic:spPr>
                          <a:xfrm>
                            <a:off x="0" y="0"/>
                            <a:ext cx="2807970" cy="2199005"/>
                          </a:xfrm>
                          <a:prstGeom prst="rect">
                            <a:avLst/>
                          </a:prstGeom>
                          <a:noFill/>
                          <a:ln>
                            <a:noFill/>
                          </a:ln>
                        </pic:spPr>
                      </pic:pic>
                    </a:graphicData>
                  </a:graphic>
                </wp:inline>
              </w:drawing>
            </w:r>
          </w:p>
        </w:tc>
        <w:tc>
          <w:tcPr>
            <w:tcW w:w="1160" w:type="pct"/>
            <w:noWrap w:val="0"/>
            <w:vAlign w:val="center"/>
          </w:tcPr>
          <w:p w14:paraId="6E37FC16">
            <w:pPr>
              <w:pStyle w:val="61"/>
              <w:spacing w:line="240" w:lineRule="auto"/>
              <w:rPr>
                <w:rFonts w:eastAsia="宋体" w:cs="Times New Roman"/>
                <w:color w:val="auto"/>
              </w:rPr>
            </w:pPr>
            <w:r>
              <w:rPr>
                <w:rFonts w:hint="eastAsia" w:eastAsia="宋体" w:cs="Times New Roman"/>
                <w:color w:val="auto"/>
              </w:rPr>
              <w:t>地下室及楼梯间采用声控灯照明</w:t>
            </w:r>
          </w:p>
        </w:tc>
      </w:tr>
      <w:tr w14:paraId="75FF56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1100" w:type="dxa"/>
            <w:vMerge w:val="continue"/>
            <w:noWrap w:val="0"/>
            <w:vAlign w:val="center"/>
          </w:tcPr>
          <w:p w14:paraId="5DB80302">
            <w:pPr>
              <w:pStyle w:val="61"/>
              <w:spacing w:line="240" w:lineRule="auto"/>
              <w:rPr>
                <w:rFonts w:eastAsia="宋体" w:cs="Times New Roman"/>
                <w:color w:val="auto"/>
              </w:rPr>
            </w:pPr>
          </w:p>
        </w:tc>
        <w:tc>
          <w:tcPr>
            <w:tcW w:w="3240" w:type="pct"/>
            <w:noWrap w:val="0"/>
            <w:vAlign w:val="center"/>
          </w:tcPr>
          <w:p w14:paraId="44CD03D6">
            <w:pPr>
              <w:pStyle w:val="61"/>
              <w:spacing w:line="240" w:lineRule="auto"/>
              <w:rPr>
                <w:rFonts w:eastAsia="宋体" w:cs="Times New Roman"/>
                <w:color w:val="auto"/>
              </w:rPr>
            </w:pPr>
            <w:r>
              <w:rPr>
                <w:rFonts w:eastAsia="宋体" w:cs="Times New Roman"/>
                <w:color w:val="auto"/>
              </w:rPr>
              <w:drawing>
                <wp:inline distT="0" distB="0" distL="114300" distR="114300">
                  <wp:extent cx="3044825" cy="1962150"/>
                  <wp:effectExtent l="0" t="0" r="3175" b="6350"/>
                  <wp:docPr id="36" name="图片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11"/>
                          <pic:cNvPicPr>
                            <a:picLocks noChangeAspect="1"/>
                          </pic:cNvPicPr>
                        </pic:nvPicPr>
                        <pic:blipFill>
                          <a:blip r:embed="rId60"/>
                          <a:stretch>
                            <a:fillRect/>
                          </a:stretch>
                        </pic:blipFill>
                        <pic:spPr>
                          <a:xfrm>
                            <a:off x="0" y="0"/>
                            <a:ext cx="3044825" cy="1962150"/>
                          </a:xfrm>
                          <a:prstGeom prst="rect">
                            <a:avLst/>
                          </a:prstGeom>
                          <a:noFill/>
                          <a:ln>
                            <a:noFill/>
                          </a:ln>
                        </pic:spPr>
                      </pic:pic>
                    </a:graphicData>
                  </a:graphic>
                </wp:inline>
              </w:drawing>
            </w:r>
          </w:p>
        </w:tc>
        <w:tc>
          <w:tcPr>
            <w:tcW w:w="1160" w:type="pct"/>
            <w:noWrap w:val="0"/>
            <w:vAlign w:val="center"/>
          </w:tcPr>
          <w:p w14:paraId="47AAF99C">
            <w:pPr>
              <w:pStyle w:val="61"/>
              <w:spacing w:line="240" w:lineRule="auto"/>
              <w:rPr>
                <w:rFonts w:eastAsia="宋体" w:cs="Times New Roman"/>
                <w:color w:val="auto"/>
              </w:rPr>
            </w:pPr>
            <w:r>
              <w:rPr>
                <w:rFonts w:hint="eastAsia" w:eastAsia="宋体" w:cs="Times New Roman"/>
                <w:color w:val="auto"/>
              </w:rPr>
              <w:t>电梯安装呼叫装置，杜绝电梯空载运行</w:t>
            </w:r>
          </w:p>
        </w:tc>
      </w:tr>
      <w:tr w14:paraId="3E60AC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noWrap w:val="0"/>
            <w:vAlign w:val="center"/>
          </w:tcPr>
          <w:p w14:paraId="50E880F8">
            <w:pPr>
              <w:pStyle w:val="61"/>
              <w:spacing w:line="240" w:lineRule="auto"/>
              <w:rPr>
                <w:rFonts w:eastAsia="宋体" w:cs="Times New Roman"/>
                <w:color w:val="auto"/>
              </w:rPr>
            </w:pPr>
            <w:r>
              <w:rPr>
                <w:rFonts w:hint="eastAsia" w:eastAsia="宋体" w:cs="Times New Roman"/>
                <w:color w:val="auto"/>
              </w:rPr>
              <w:t>节能与能源利用</w:t>
            </w:r>
          </w:p>
        </w:tc>
        <w:tc>
          <w:tcPr>
            <w:tcW w:w="3240" w:type="pct"/>
            <w:noWrap w:val="0"/>
            <w:vAlign w:val="center"/>
          </w:tcPr>
          <w:p w14:paraId="46FE2DC2">
            <w:pPr>
              <w:pStyle w:val="61"/>
              <w:spacing w:line="240" w:lineRule="auto"/>
              <w:rPr>
                <w:rFonts w:eastAsia="宋体" w:cs="Times New Roman"/>
                <w:color w:val="auto"/>
              </w:rPr>
            </w:pPr>
            <w:r>
              <w:rPr>
                <w:rFonts w:eastAsia="宋体" w:cs="Times New Roman"/>
                <w:color w:val="auto"/>
              </w:rPr>
              <w:drawing>
                <wp:inline distT="0" distB="0" distL="114300" distR="114300">
                  <wp:extent cx="2911475" cy="2589530"/>
                  <wp:effectExtent l="0" t="0" r="9525" b="1270"/>
                  <wp:docPr id="37" name="图片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12"/>
                          <pic:cNvPicPr>
                            <a:picLocks noChangeAspect="1"/>
                          </pic:cNvPicPr>
                        </pic:nvPicPr>
                        <pic:blipFill>
                          <a:blip r:embed="rId61">
                            <a:lum bright="12000"/>
                          </a:blip>
                          <a:stretch>
                            <a:fillRect/>
                          </a:stretch>
                        </pic:blipFill>
                        <pic:spPr>
                          <a:xfrm>
                            <a:off x="0" y="0"/>
                            <a:ext cx="2911475" cy="2589530"/>
                          </a:xfrm>
                          <a:prstGeom prst="rect">
                            <a:avLst/>
                          </a:prstGeom>
                          <a:noFill/>
                          <a:ln>
                            <a:noFill/>
                          </a:ln>
                        </pic:spPr>
                      </pic:pic>
                    </a:graphicData>
                  </a:graphic>
                </wp:inline>
              </w:drawing>
            </w:r>
          </w:p>
        </w:tc>
        <w:tc>
          <w:tcPr>
            <w:tcW w:w="1160" w:type="pct"/>
            <w:noWrap w:val="0"/>
            <w:vAlign w:val="center"/>
          </w:tcPr>
          <w:p w14:paraId="0A39FFD7">
            <w:pPr>
              <w:pStyle w:val="61"/>
              <w:spacing w:line="240" w:lineRule="auto"/>
              <w:rPr>
                <w:rFonts w:eastAsia="宋体" w:cs="Times New Roman"/>
                <w:color w:val="auto"/>
              </w:rPr>
            </w:pPr>
            <w:r>
              <w:rPr>
                <w:rFonts w:hint="eastAsia" w:eastAsia="宋体" w:cs="Times New Roman"/>
                <w:color w:val="auto"/>
              </w:rPr>
              <w:t>使用变频节能型空调、复印机等电器</w:t>
            </w:r>
          </w:p>
        </w:tc>
      </w:tr>
      <w:tr w14:paraId="3F841A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noWrap w:val="0"/>
            <w:vAlign w:val="center"/>
          </w:tcPr>
          <w:p w14:paraId="0F4CFB76">
            <w:pPr>
              <w:pStyle w:val="61"/>
              <w:spacing w:line="240" w:lineRule="auto"/>
              <w:rPr>
                <w:rFonts w:eastAsia="宋体" w:cs="Times New Roman"/>
                <w:color w:val="auto"/>
              </w:rPr>
            </w:pPr>
            <w:r>
              <w:rPr>
                <w:rFonts w:hint="eastAsia" w:eastAsia="宋体" w:cs="Times New Roman"/>
                <w:color w:val="auto"/>
              </w:rPr>
              <w:t>节能与能源利用</w:t>
            </w:r>
          </w:p>
        </w:tc>
        <w:tc>
          <w:tcPr>
            <w:tcW w:w="3240" w:type="pct"/>
            <w:noWrap w:val="0"/>
            <w:vAlign w:val="center"/>
          </w:tcPr>
          <w:p w14:paraId="16BD1994">
            <w:pPr>
              <w:pStyle w:val="61"/>
              <w:spacing w:line="240" w:lineRule="auto"/>
              <w:rPr>
                <w:rFonts w:eastAsia="宋体" w:cs="Times New Roman"/>
                <w:color w:val="auto"/>
              </w:rPr>
            </w:pPr>
            <w:r>
              <w:rPr>
                <w:rFonts w:eastAsia="宋体" w:cs="Times New Roman"/>
                <w:color w:val="auto"/>
              </w:rPr>
              <w:drawing>
                <wp:inline distT="0" distB="0" distL="114300" distR="114300">
                  <wp:extent cx="2916555" cy="2426970"/>
                  <wp:effectExtent l="0" t="0" r="4445" b="11430"/>
                  <wp:docPr id="38" name="图片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13"/>
                          <pic:cNvPicPr>
                            <a:picLocks noChangeAspect="1"/>
                          </pic:cNvPicPr>
                        </pic:nvPicPr>
                        <pic:blipFill>
                          <a:blip r:embed="rId62"/>
                          <a:srcRect l="13136" t="41714"/>
                          <a:stretch>
                            <a:fillRect/>
                          </a:stretch>
                        </pic:blipFill>
                        <pic:spPr>
                          <a:xfrm>
                            <a:off x="0" y="0"/>
                            <a:ext cx="2916555" cy="2426970"/>
                          </a:xfrm>
                          <a:prstGeom prst="rect">
                            <a:avLst/>
                          </a:prstGeom>
                          <a:noFill/>
                          <a:ln>
                            <a:noFill/>
                          </a:ln>
                        </pic:spPr>
                      </pic:pic>
                    </a:graphicData>
                  </a:graphic>
                </wp:inline>
              </w:drawing>
            </w:r>
          </w:p>
        </w:tc>
        <w:tc>
          <w:tcPr>
            <w:tcW w:w="1160" w:type="pct"/>
            <w:noWrap w:val="0"/>
            <w:vAlign w:val="center"/>
          </w:tcPr>
          <w:p w14:paraId="2C13284F">
            <w:pPr>
              <w:pStyle w:val="61"/>
              <w:spacing w:line="240" w:lineRule="auto"/>
              <w:rPr>
                <w:rFonts w:eastAsia="宋体" w:cs="Times New Roman"/>
                <w:color w:val="auto"/>
              </w:rPr>
            </w:pPr>
            <w:r>
              <w:rPr>
                <w:rFonts w:hint="eastAsia" w:eastAsia="宋体" w:cs="Times New Roman"/>
                <w:color w:val="auto"/>
              </w:rPr>
              <w:t>生活区低压供电、设置手机充电室</w:t>
            </w:r>
          </w:p>
        </w:tc>
      </w:tr>
      <w:tr w14:paraId="011FB0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98" w:type="pct"/>
            <w:noWrap w:val="0"/>
            <w:vAlign w:val="center"/>
          </w:tcPr>
          <w:p w14:paraId="641075B8">
            <w:pPr>
              <w:pStyle w:val="61"/>
              <w:spacing w:line="240" w:lineRule="auto"/>
              <w:rPr>
                <w:rFonts w:eastAsia="宋体" w:cs="Times New Roman"/>
                <w:color w:val="auto"/>
              </w:rPr>
            </w:pPr>
            <w:r>
              <w:rPr>
                <w:rFonts w:hint="eastAsia" w:eastAsia="宋体" w:cs="Times New Roman"/>
                <w:color w:val="auto"/>
              </w:rPr>
              <w:t>节能与能源利用</w:t>
            </w:r>
          </w:p>
        </w:tc>
        <w:tc>
          <w:tcPr>
            <w:tcW w:w="3240" w:type="pct"/>
            <w:noWrap w:val="0"/>
            <w:vAlign w:val="center"/>
          </w:tcPr>
          <w:p w14:paraId="2B975CA3">
            <w:pPr>
              <w:pStyle w:val="61"/>
              <w:spacing w:line="240" w:lineRule="auto"/>
              <w:rPr>
                <w:rFonts w:eastAsia="宋体" w:cs="Times New Roman"/>
                <w:color w:val="auto"/>
              </w:rPr>
            </w:pPr>
            <w:r>
              <w:rPr>
                <w:rFonts w:eastAsia="宋体" w:cs="Times New Roman"/>
                <w:color w:val="auto"/>
              </w:rPr>
              <w:drawing>
                <wp:inline distT="0" distB="0" distL="114300" distR="114300">
                  <wp:extent cx="2525395" cy="2062480"/>
                  <wp:effectExtent l="0" t="0" r="1905" b="7620"/>
                  <wp:docPr id="39" name="图片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14"/>
                          <pic:cNvPicPr>
                            <a:picLocks noChangeAspect="1"/>
                          </pic:cNvPicPr>
                        </pic:nvPicPr>
                        <pic:blipFill>
                          <a:blip r:embed="rId63"/>
                          <a:srcRect t="12535"/>
                          <a:stretch>
                            <a:fillRect/>
                          </a:stretch>
                        </pic:blipFill>
                        <pic:spPr>
                          <a:xfrm>
                            <a:off x="0" y="0"/>
                            <a:ext cx="2525395" cy="2062480"/>
                          </a:xfrm>
                          <a:prstGeom prst="rect">
                            <a:avLst/>
                          </a:prstGeom>
                          <a:noFill/>
                          <a:ln>
                            <a:noFill/>
                          </a:ln>
                        </pic:spPr>
                      </pic:pic>
                    </a:graphicData>
                  </a:graphic>
                </wp:inline>
              </w:drawing>
            </w:r>
          </w:p>
        </w:tc>
        <w:tc>
          <w:tcPr>
            <w:tcW w:w="1160" w:type="pct"/>
            <w:noWrap w:val="0"/>
            <w:vAlign w:val="center"/>
          </w:tcPr>
          <w:p w14:paraId="14025E64">
            <w:pPr>
              <w:pStyle w:val="61"/>
              <w:spacing w:line="240" w:lineRule="auto"/>
              <w:rPr>
                <w:rFonts w:eastAsia="宋体" w:cs="Times New Roman"/>
                <w:color w:val="auto"/>
              </w:rPr>
            </w:pPr>
            <w:r>
              <w:rPr>
                <w:rFonts w:hint="eastAsia" w:eastAsia="宋体" w:cs="Times New Roman"/>
                <w:color w:val="auto"/>
              </w:rPr>
              <w:t>节省场地使用，裸露地面覆盖</w:t>
            </w:r>
          </w:p>
        </w:tc>
      </w:tr>
    </w:tbl>
    <w:p w14:paraId="5E5B4CE4">
      <w:pPr>
        <w:pStyle w:val="4"/>
        <w:rPr>
          <w:color w:val="auto"/>
        </w:rPr>
      </w:pPr>
      <w:bookmarkStart w:id="50" w:name="_Toc5667"/>
      <w:r>
        <w:rPr>
          <w:rFonts w:hint="eastAsia"/>
          <w:color w:val="auto"/>
        </w:rPr>
        <w:t>环境保护</w:t>
      </w:r>
      <w:bookmarkEnd w:id="50"/>
    </w:p>
    <w:p w14:paraId="2CCB0448">
      <w:pPr>
        <w:pStyle w:val="7"/>
        <w:rPr>
          <w:color w:val="auto"/>
        </w:rPr>
      </w:pPr>
      <w:bookmarkStart w:id="51" w:name="_Toc22969"/>
      <w:r>
        <w:rPr>
          <w:rFonts w:hint="eastAsia"/>
          <w:color w:val="auto"/>
        </w:rPr>
        <w:t>环境保护管理</w:t>
      </w:r>
      <w:bookmarkEnd w:id="51"/>
    </w:p>
    <w:p w14:paraId="5033F50F">
      <w:pPr>
        <w:pStyle w:val="8"/>
        <w:rPr>
          <w:color w:val="auto"/>
        </w:rPr>
      </w:pPr>
      <w:r>
        <w:rPr>
          <w:rFonts w:hint="eastAsia"/>
          <w:color w:val="auto"/>
        </w:rPr>
        <w:t>环境保护目标</w:t>
      </w:r>
    </w:p>
    <w:p w14:paraId="26FEDFB0">
      <w:pPr>
        <w:pStyle w:val="65"/>
        <w:rPr>
          <w:color w:val="auto"/>
        </w:rPr>
      </w:pPr>
      <w:r>
        <w:rPr>
          <w:rFonts w:hint="eastAsia"/>
          <w:color w:val="auto"/>
        </w:rPr>
        <w:t>环境管理目标与指标</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13"/>
        <w:gridCol w:w="2575"/>
        <w:gridCol w:w="1233"/>
        <w:gridCol w:w="1240"/>
        <w:gridCol w:w="1591"/>
      </w:tblGrid>
      <w:tr w14:paraId="58FE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noWrap w:val="0"/>
            <w:vAlign w:val="center"/>
          </w:tcPr>
          <w:p w14:paraId="2CBE76C0">
            <w:pPr>
              <w:pStyle w:val="61"/>
              <w:spacing w:line="240" w:lineRule="auto"/>
              <w:rPr>
                <w:rFonts w:eastAsia="宋体" w:cs="Times New Roman"/>
                <w:color w:val="auto"/>
              </w:rPr>
            </w:pPr>
            <w:r>
              <w:rPr>
                <w:rFonts w:eastAsia="宋体" w:cs="Times New Roman"/>
                <w:color w:val="auto"/>
              </w:rPr>
              <w:t>序号</w:t>
            </w:r>
          </w:p>
        </w:tc>
        <w:tc>
          <w:tcPr>
            <w:tcW w:w="2013" w:type="dxa"/>
            <w:noWrap w:val="0"/>
            <w:vAlign w:val="center"/>
          </w:tcPr>
          <w:p w14:paraId="1506068B">
            <w:pPr>
              <w:pStyle w:val="61"/>
              <w:spacing w:line="240" w:lineRule="auto"/>
              <w:rPr>
                <w:rFonts w:eastAsia="宋体" w:cs="Times New Roman"/>
                <w:color w:val="auto"/>
              </w:rPr>
            </w:pPr>
            <w:r>
              <w:rPr>
                <w:rFonts w:eastAsia="宋体" w:cs="Times New Roman"/>
                <w:color w:val="auto"/>
              </w:rPr>
              <w:t>重要环境因素</w:t>
            </w:r>
          </w:p>
        </w:tc>
        <w:tc>
          <w:tcPr>
            <w:tcW w:w="2575" w:type="dxa"/>
            <w:noWrap w:val="0"/>
            <w:vAlign w:val="center"/>
          </w:tcPr>
          <w:p w14:paraId="569FF29B">
            <w:pPr>
              <w:pStyle w:val="61"/>
              <w:spacing w:line="240" w:lineRule="auto"/>
              <w:rPr>
                <w:rFonts w:eastAsia="宋体" w:cs="Times New Roman"/>
                <w:color w:val="auto"/>
              </w:rPr>
            </w:pPr>
            <w:r>
              <w:rPr>
                <w:rFonts w:eastAsia="宋体" w:cs="Times New Roman"/>
                <w:color w:val="auto"/>
              </w:rPr>
              <w:t>目标</w:t>
            </w:r>
          </w:p>
        </w:tc>
        <w:tc>
          <w:tcPr>
            <w:tcW w:w="4064" w:type="dxa"/>
            <w:gridSpan w:val="3"/>
            <w:noWrap w:val="0"/>
            <w:vAlign w:val="center"/>
          </w:tcPr>
          <w:p w14:paraId="26D924FE">
            <w:pPr>
              <w:pStyle w:val="61"/>
              <w:spacing w:line="240" w:lineRule="auto"/>
              <w:rPr>
                <w:rFonts w:eastAsia="宋体" w:cs="Times New Roman"/>
                <w:color w:val="auto"/>
              </w:rPr>
            </w:pPr>
            <w:r>
              <w:rPr>
                <w:rFonts w:eastAsia="宋体" w:cs="Times New Roman"/>
                <w:color w:val="auto"/>
              </w:rPr>
              <w:t>指标</w:t>
            </w:r>
          </w:p>
        </w:tc>
      </w:tr>
      <w:tr w14:paraId="5F99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vMerge w:val="restart"/>
            <w:noWrap w:val="0"/>
            <w:vAlign w:val="center"/>
          </w:tcPr>
          <w:p w14:paraId="04311881">
            <w:pPr>
              <w:pStyle w:val="61"/>
              <w:spacing w:line="240" w:lineRule="auto"/>
              <w:rPr>
                <w:rFonts w:eastAsia="宋体" w:cs="Times New Roman"/>
                <w:color w:val="auto"/>
              </w:rPr>
            </w:pPr>
            <w:r>
              <w:rPr>
                <w:rFonts w:eastAsia="宋体" w:cs="Times New Roman"/>
                <w:color w:val="auto"/>
              </w:rPr>
              <w:t>1</w:t>
            </w:r>
          </w:p>
        </w:tc>
        <w:tc>
          <w:tcPr>
            <w:tcW w:w="2013" w:type="dxa"/>
            <w:vMerge w:val="restart"/>
            <w:noWrap w:val="0"/>
            <w:vAlign w:val="center"/>
          </w:tcPr>
          <w:p w14:paraId="2869191D">
            <w:pPr>
              <w:pStyle w:val="61"/>
              <w:spacing w:line="240" w:lineRule="auto"/>
              <w:rPr>
                <w:rFonts w:eastAsia="宋体" w:cs="Times New Roman"/>
                <w:color w:val="auto"/>
              </w:rPr>
            </w:pPr>
            <w:r>
              <w:rPr>
                <w:rFonts w:eastAsia="宋体" w:cs="Times New Roman"/>
                <w:color w:val="auto"/>
              </w:rPr>
              <w:t>粉尘飞扬</w:t>
            </w:r>
          </w:p>
        </w:tc>
        <w:tc>
          <w:tcPr>
            <w:tcW w:w="2575" w:type="dxa"/>
            <w:vMerge w:val="restart"/>
            <w:noWrap w:val="0"/>
            <w:vAlign w:val="center"/>
          </w:tcPr>
          <w:p w14:paraId="573E3359">
            <w:pPr>
              <w:pStyle w:val="61"/>
              <w:spacing w:line="240" w:lineRule="auto"/>
              <w:rPr>
                <w:rFonts w:eastAsia="宋体" w:cs="Times New Roman"/>
                <w:color w:val="auto"/>
              </w:rPr>
            </w:pPr>
            <w:r>
              <w:rPr>
                <w:rFonts w:eastAsia="宋体" w:cs="Times New Roman"/>
                <w:color w:val="auto"/>
              </w:rPr>
              <w:t>减少施工现场</w:t>
            </w:r>
          </w:p>
          <w:p w14:paraId="604F1EC7">
            <w:pPr>
              <w:pStyle w:val="61"/>
              <w:spacing w:line="240" w:lineRule="auto"/>
              <w:rPr>
                <w:rFonts w:eastAsia="宋体" w:cs="Times New Roman"/>
                <w:color w:val="auto"/>
              </w:rPr>
            </w:pPr>
            <w:r>
              <w:rPr>
                <w:rFonts w:eastAsia="宋体" w:cs="Times New Roman"/>
                <w:color w:val="auto"/>
              </w:rPr>
              <w:t>粉尘飞扬</w:t>
            </w:r>
          </w:p>
        </w:tc>
        <w:tc>
          <w:tcPr>
            <w:tcW w:w="4064" w:type="dxa"/>
            <w:gridSpan w:val="3"/>
            <w:noWrap w:val="0"/>
            <w:vAlign w:val="center"/>
          </w:tcPr>
          <w:p w14:paraId="66799838">
            <w:pPr>
              <w:pStyle w:val="61"/>
              <w:spacing w:line="240" w:lineRule="auto"/>
              <w:rPr>
                <w:rFonts w:eastAsia="宋体" w:cs="Times New Roman"/>
                <w:color w:val="auto"/>
              </w:rPr>
            </w:pPr>
            <w:r>
              <w:rPr>
                <w:rFonts w:eastAsia="宋体" w:cs="Times New Roman"/>
                <w:color w:val="auto"/>
              </w:rPr>
              <w:t>施工现场道路、加工场硬化率100%</w:t>
            </w:r>
          </w:p>
          <w:p w14:paraId="2349E819">
            <w:pPr>
              <w:pStyle w:val="61"/>
              <w:spacing w:line="240" w:lineRule="auto"/>
              <w:rPr>
                <w:rFonts w:eastAsia="宋体" w:cs="Times New Roman"/>
                <w:color w:val="auto"/>
              </w:rPr>
            </w:pPr>
            <w:r>
              <w:rPr>
                <w:rFonts w:eastAsia="宋体" w:cs="Times New Roman"/>
                <w:color w:val="auto"/>
              </w:rPr>
              <w:t>水泥等易飞扬材料入库率100%</w:t>
            </w:r>
          </w:p>
        </w:tc>
      </w:tr>
      <w:tr w14:paraId="7D94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vMerge w:val="continue"/>
            <w:noWrap w:val="0"/>
            <w:vAlign w:val="center"/>
          </w:tcPr>
          <w:p w14:paraId="0EB672B1">
            <w:pPr>
              <w:pStyle w:val="61"/>
              <w:spacing w:line="240" w:lineRule="auto"/>
              <w:rPr>
                <w:rFonts w:eastAsia="宋体" w:cs="Times New Roman"/>
                <w:color w:val="auto"/>
              </w:rPr>
            </w:pPr>
          </w:p>
        </w:tc>
        <w:tc>
          <w:tcPr>
            <w:tcW w:w="2013" w:type="dxa"/>
            <w:vMerge w:val="continue"/>
            <w:noWrap w:val="0"/>
            <w:vAlign w:val="center"/>
          </w:tcPr>
          <w:p w14:paraId="067DF322">
            <w:pPr>
              <w:pStyle w:val="61"/>
              <w:spacing w:line="240" w:lineRule="auto"/>
              <w:rPr>
                <w:rFonts w:eastAsia="宋体" w:cs="Times New Roman"/>
                <w:color w:val="auto"/>
              </w:rPr>
            </w:pPr>
          </w:p>
        </w:tc>
        <w:tc>
          <w:tcPr>
            <w:tcW w:w="2575" w:type="dxa"/>
            <w:vMerge w:val="continue"/>
            <w:noWrap w:val="0"/>
            <w:vAlign w:val="center"/>
          </w:tcPr>
          <w:p w14:paraId="2C5EEEC7">
            <w:pPr>
              <w:pStyle w:val="61"/>
              <w:spacing w:line="240" w:lineRule="auto"/>
              <w:rPr>
                <w:rFonts w:eastAsia="宋体" w:cs="Times New Roman"/>
                <w:color w:val="auto"/>
              </w:rPr>
            </w:pPr>
          </w:p>
        </w:tc>
        <w:tc>
          <w:tcPr>
            <w:tcW w:w="4064" w:type="dxa"/>
            <w:gridSpan w:val="3"/>
            <w:noWrap w:val="0"/>
            <w:vAlign w:val="center"/>
          </w:tcPr>
          <w:p w14:paraId="3AC1A62E">
            <w:pPr>
              <w:pStyle w:val="61"/>
              <w:spacing w:line="240" w:lineRule="auto"/>
              <w:rPr>
                <w:rFonts w:eastAsia="宋体" w:cs="Times New Roman"/>
                <w:color w:val="auto"/>
              </w:rPr>
            </w:pPr>
            <w:r>
              <w:rPr>
                <w:rFonts w:eastAsia="宋体" w:cs="Times New Roman"/>
                <w:color w:val="auto"/>
              </w:rPr>
              <w:t>粉尘排放浓度≤150mg/m3</w:t>
            </w:r>
          </w:p>
        </w:tc>
      </w:tr>
      <w:tr w14:paraId="7CDE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vMerge w:val="restart"/>
            <w:noWrap w:val="0"/>
            <w:vAlign w:val="center"/>
          </w:tcPr>
          <w:p w14:paraId="012F65A3">
            <w:pPr>
              <w:pStyle w:val="61"/>
              <w:spacing w:line="240" w:lineRule="auto"/>
              <w:rPr>
                <w:rFonts w:eastAsia="宋体" w:cs="Times New Roman"/>
                <w:color w:val="auto"/>
              </w:rPr>
            </w:pPr>
            <w:r>
              <w:rPr>
                <w:rFonts w:eastAsia="宋体" w:cs="Times New Roman"/>
                <w:color w:val="auto"/>
              </w:rPr>
              <w:t>2</w:t>
            </w:r>
          </w:p>
        </w:tc>
        <w:tc>
          <w:tcPr>
            <w:tcW w:w="2013" w:type="dxa"/>
            <w:vMerge w:val="restart"/>
            <w:noWrap w:val="0"/>
            <w:vAlign w:val="center"/>
          </w:tcPr>
          <w:p w14:paraId="6490FE3A">
            <w:pPr>
              <w:pStyle w:val="61"/>
              <w:spacing w:line="240" w:lineRule="auto"/>
              <w:rPr>
                <w:rFonts w:eastAsia="宋体" w:cs="Times New Roman"/>
                <w:color w:val="auto"/>
              </w:rPr>
            </w:pPr>
            <w:r>
              <w:rPr>
                <w:rFonts w:eastAsia="宋体" w:cs="Times New Roman"/>
                <w:color w:val="auto"/>
              </w:rPr>
              <w:t>施工噪声</w:t>
            </w:r>
          </w:p>
        </w:tc>
        <w:tc>
          <w:tcPr>
            <w:tcW w:w="2575" w:type="dxa"/>
            <w:vMerge w:val="restart"/>
            <w:noWrap w:val="0"/>
            <w:vAlign w:val="center"/>
          </w:tcPr>
          <w:p w14:paraId="28F492C8">
            <w:pPr>
              <w:pStyle w:val="61"/>
              <w:spacing w:line="240" w:lineRule="auto"/>
              <w:rPr>
                <w:rFonts w:eastAsia="宋体" w:cs="Times New Roman"/>
                <w:color w:val="auto"/>
              </w:rPr>
            </w:pPr>
            <w:r>
              <w:rPr>
                <w:rFonts w:eastAsia="宋体" w:cs="Times New Roman"/>
                <w:color w:val="auto"/>
              </w:rPr>
              <w:t>确保施工现场场界</w:t>
            </w:r>
          </w:p>
          <w:p w14:paraId="761E9B15">
            <w:pPr>
              <w:pStyle w:val="61"/>
              <w:spacing w:line="240" w:lineRule="auto"/>
              <w:rPr>
                <w:rFonts w:eastAsia="宋体" w:cs="Times New Roman"/>
                <w:color w:val="auto"/>
              </w:rPr>
            </w:pPr>
            <w:r>
              <w:rPr>
                <w:rFonts w:eastAsia="宋体" w:cs="Times New Roman"/>
                <w:color w:val="auto"/>
              </w:rPr>
              <w:t>噪声排放达标</w:t>
            </w:r>
          </w:p>
        </w:tc>
        <w:tc>
          <w:tcPr>
            <w:tcW w:w="1233" w:type="dxa"/>
            <w:vMerge w:val="restart"/>
            <w:noWrap w:val="0"/>
            <w:vAlign w:val="center"/>
          </w:tcPr>
          <w:p w14:paraId="670CB653">
            <w:pPr>
              <w:pStyle w:val="61"/>
              <w:spacing w:line="240" w:lineRule="auto"/>
              <w:rPr>
                <w:rFonts w:eastAsia="宋体" w:cs="Times New Roman"/>
                <w:color w:val="auto"/>
              </w:rPr>
            </w:pPr>
            <w:r>
              <w:rPr>
                <w:rFonts w:eastAsia="宋体" w:cs="Times New Roman"/>
                <w:color w:val="auto"/>
              </w:rPr>
              <w:t>施工内容</w:t>
            </w:r>
          </w:p>
        </w:tc>
        <w:tc>
          <w:tcPr>
            <w:tcW w:w="2831" w:type="dxa"/>
            <w:gridSpan w:val="2"/>
            <w:noWrap w:val="0"/>
            <w:vAlign w:val="center"/>
          </w:tcPr>
          <w:p w14:paraId="3457055E">
            <w:pPr>
              <w:pStyle w:val="61"/>
              <w:spacing w:line="240" w:lineRule="auto"/>
              <w:rPr>
                <w:rFonts w:eastAsia="宋体" w:cs="Times New Roman"/>
                <w:color w:val="auto"/>
              </w:rPr>
            </w:pPr>
            <w:r>
              <w:rPr>
                <w:rFonts w:eastAsia="宋体" w:cs="Times New Roman"/>
                <w:color w:val="auto"/>
              </w:rPr>
              <w:t>场界噪声限值(dB)</w:t>
            </w:r>
          </w:p>
        </w:tc>
      </w:tr>
      <w:tr w14:paraId="200B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vMerge w:val="continue"/>
            <w:noWrap w:val="0"/>
            <w:vAlign w:val="center"/>
          </w:tcPr>
          <w:p w14:paraId="527CE49B">
            <w:pPr>
              <w:pStyle w:val="61"/>
              <w:spacing w:line="240" w:lineRule="auto"/>
              <w:rPr>
                <w:rFonts w:eastAsia="宋体" w:cs="Times New Roman"/>
                <w:color w:val="auto"/>
              </w:rPr>
            </w:pPr>
          </w:p>
        </w:tc>
        <w:tc>
          <w:tcPr>
            <w:tcW w:w="2013" w:type="dxa"/>
            <w:vMerge w:val="continue"/>
            <w:noWrap w:val="0"/>
            <w:vAlign w:val="center"/>
          </w:tcPr>
          <w:p w14:paraId="352C9148">
            <w:pPr>
              <w:pStyle w:val="61"/>
              <w:spacing w:line="240" w:lineRule="auto"/>
              <w:rPr>
                <w:rFonts w:eastAsia="宋体" w:cs="Times New Roman"/>
                <w:color w:val="auto"/>
              </w:rPr>
            </w:pPr>
          </w:p>
        </w:tc>
        <w:tc>
          <w:tcPr>
            <w:tcW w:w="2575" w:type="dxa"/>
            <w:vMerge w:val="continue"/>
            <w:noWrap w:val="0"/>
            <w:vAlign w:val="center"/>
          </w:tcPr>
          <w:p w14:paraId="61EFB21E">
            <w:pPr>
              <w:pStyle w:val="61"/>
              <w:spacing w:line="240" w:lineRule="auto"/>
              <w:rPr>
                <w:rFonts w:eastAsia="宋体" w:cs="Times New Roman"/>
                <w:color w:val="auto"/>
              </w:rPr>
            </w:pPr>
          </w:p>
        </w:tc>
        <w:tc>
          <w:tcPr>
            <w:tcW w:w="1233" w:type="dxa"/>
            <w:vMerge w:val="continue"/>
            <w:noWrap w:val="0"/>
            <w:vAlign w:val="center"/>
          </w:tcPr>
          <w:p w14:paraId="613C6137">
            <w:pPr>
              <w:pStyle w:val="61"/>
              <w:spacing w:line="240" w:lineRule="auto"/>
              <w:rPr>
                <w:rFonts w:eastAsia="宋体" w:cs="Times New Roman"/>
                <w:color w:val="auto"/>
              </w:rPr>
            </w:pPr>
          </w:p>
        </w:tc>
        <w:tc>
          <w:tcPr>
            <w:tcW w:w="1240" w:type="dxa"/>
            <w:noWrap w:val="0"/>
            <w:vAlign w:val="center"/>
          </w:tcPr>
          <w:p w14:paraId="05EE367E">
            <w:pPr>
              <w:pStyle w:val="61"/>
              <w:spacing w:line="240" w:lineRule="auto"/>
              <w:rPr>
                <w:rFonts w:eastAsia="宋体" w:cs="Times New Roman"/>
                <w:color w:val="auto"/>
              </w:rPr>
            </w:pPr>
            <w:r>
              <w:rPr>
                <w:rFonts w:eastAsia="宋体" w:cs="Times New Roman"/>
                <w:color w:val="auto"/>
              </w:rPr>
              <w:t>昼间</w:t>
            </w:r>
          </w:p>
        </w:tc>
        <w:tc>
          <w:tcPr>
            <w:tcW w:w="1591" w:type="dxa"/>
            <w:noWrap w:val="0"/>
            <w:vAlign w:val="center"/>
          </w:tcPr>
          <w:p w14:paraId="3C70AD64">
            <w:pPr>
              <w:pStyle w:val="61"/>
              <w:spacing w:line="240" w:lineRule="auto"/>
              <w:rPr>
                <w:rFonts w:eastAsia="宋体" w:cs="Times New Roman"/>
                <w:color w:val="auto"/>
              </w:rPr>
            </w:pPr>
            <w:r>
              <w:rPr>
                <w:rFonts w:eastAsia="宋体" w:cs="Times New Roman"/>
                <w:color w:val="auto"/>
              </w:rPr>
              <w:t>夜间</w:t>
            </w:r>
          </w:p>
        </w:tc>
      </w:tr>
      <w:tr w14:paraId="6927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vMerge w:val="continue"/>
            <w:noWrap w:val="0"/>
            <w:vAlign w:val="center"/>
          </w:tcPr>
          <w:p w14:paraId="38F7F816">
            <w:pPr>
              <w:pStyle w:val="61"/>
              <w:spacing w:line="240" w:lineRule="auto"/>
              <w:rPr>
                <w:rFonts w:eastAsia="宋体" w:cs="Times New Roman"/>
                <w:color w:val="auto"/>
              </w:rPr>
            </w:pPr>
          </w:p>
        </w:tc>
        <w:tc>
          <w:tcPr>
            <w:tcW w:w="2013" w:type="dxa"/>
            <w:vMerge w:val="continue"/>
            <w:noWrap w:val="0"/>
            <w:vAlign w:val="center"/>
          </w:tcPr>
          <w:p w14:paraId="3F4D3723">
            <w:pPr>
              <w:pStyle w:val="61"/>
              <w:spacing w:line="240" w:lineRule="auto"/>
              <w:rPr>
                <w:rFonts w:eastAsia="宋体" w:cs="Times New Roman"/>
                <w:color w:val="auto"/>
              </w:rPr>
            </w:pPr>
          </w:p>
        </w:tc>
        <w:tc>
          <w:tcPr>
            <w:tcW w:w="2575" w:type="dxa"/>
            <w:vMerge w:val="continue"/>
            <w:noWrap w:val="0"/>
            <w:vAlign w:val="center"/>
          </w:tcPr>
          <w:p w14:paraId="17D66E4F">
            <w:pPr>
              <w:pStyle w:val="61"/>
              <w:spacing w:line="240" w:lineRule="auto"/>
              <w:rPr>
                <w:rFonts w:eastAsia="宋体" w:cs="Times New Roman"/>
                <w:color w:val="auto"/>
              </w:rPr>
            </w:pPr>
          </w:p>
        </w:tc>
        <w:tc>
          <w:tcPr>
            <w:tcW w:w="1233" w:type="dxa"/>
            <w:noWrap w:val="0"/>
            <w:vAlign w:val="center"/>
          </w:tcPr>
          <w:p w14:paraId="070BAAEE">
            <w:pPr>
              <w:pStyle w:val="61"/>
              <w:spacing w:line="240" w:lineRule="auto"/>
              <w:rPr>
                <w:rFonts w:eastAsia="宋体" w:cs="Times New Roman"/>
                <w:color w:val="auto"/>
              </w:rPr>
            </w:pPr>
            <w:r>
              <w:rPr>
                <w:rFonts w:eastAsia="宋体" w:cs="Times New Roman"/>
                <w:color w:val="auto"/>
              </w:rPr>
              <w:t>土石方</w:t>
            </w:r>
          </w:p>
        </w:tc>
        <w:tc>
          <w:tcPr>
            <w:tcW w:w="1240" w:type="dxa"/>
            <w:noWrap w:val="0"/>
            <w:vAlign w:val="center"/>
          </w:tcPr>
          <w:p w14:paraId="6BC19B10">
            <w:pPr>
              <w:pStyle w:val="61"/>
              <w:spacing w:line="240" w:lineRule="auto"/>
              <w:rPr>
                <w:rFonts w:eastAsia="宋体" w:cs="Times New Roman"/>
                <w:color w:val="auto"/>
              </w:rPr>
            </w:pPr>
            <w:r>
              <w:rPr>
                <w:rFonts w:hint="eastAsia" w:eastAsia="宋体" w:cs="Times New Roman"/>
                <w:color w:val="auto"/>
              </w:rPr>
              <w:t>≦</w:t>
            </w:r>
            <w:r>
              <w:rPr>
                <w:rFonts w:eastAsia="宋体" w:cs="Times New Roman"/>
                <w:color w:val="auto"/>
              </w:rPr>
              <w:t>75</w:t>
            </w:r>
          </w:p>
        </w:tc>
        <w:tc>
          <w:tcPr>
            <w:tcW w:w="1591" w:type="dxa"/>
            <w:noWrap w:val="0"/>
            <w:vAlign w:val="center"/>
          </w:tcPr>
          <w:p w14:paraId="60442AA3">
            <w:pPr>
              <w:pStyle w:val="61"/>
              <w:spacing w:line="240" w:lineRule="auto"/>
              <w:rPr>
                <w:rFonts w:eastAsia="宋体" w:cs="Times New Roman"/>
                <w:color w:val="auto"/>
              </w:rPr>
            </w:pPr>
            <w:r>
              <w:rPr>
                <w:rFonts w:hint="eastAsia" w:eastAsia="宋体" w:cs="Times New Roman"/>
                <w:color w:val="auto"/>
              </w:rPr>
              <w:t>≦</w:t>
            </w:r>
            <w:r>
              <w:rPr>
                <w:rFonts w:eastAsia="宋体" w:cs="Times New Roman"/>
                <w:color w:val="auto"/>
              </w:rPr>
              <w:t>55</w:t>
            </w:r>
          </w:p>
        </w:tc>
      </w:tr>
      <w:tr w14:paraId="0150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vMerge w:val="continue"/>
            <w:noWrap w:val="0"/>
            <w:vAlign w:val="center"/>
          </w:tcPr>
          <w:p w14:paraId="4F8AD7B3">
            <w:pPr>
              <w:pStyle w:val="61"/>
              <w:spacing w:line="240" w:lineRule="auto"/>
              <w:rPr>
                <w:rFonts w:eastAsia="宋体" w:cs="Times New Roman"/>
                <w:color w:val="auto"/>
              </w:rPr>
            </w:pPr>
          </w:p>
        </w:tc>
        <w:tc>
          <w:tcPr>
            <w:tcW w:w="2013" w:type="dxa"/>
            <w:vMerge w:val="continue"/>
            <w:noWrap w:val="0"/>
            <w:vAlign w:val="center"/>
          </w:tcPr>
          <w:p w14:paraId="2E5A954D">
            <w:pPr>
              <w:pStyle w:val="61"/>
              <w:spacing w:line="240" w:lineRule="auto"/>
              <w:rPr>
                <w:rFonts w:eastAsia="宋体" w:cs="Times New Roman"/>
                <w:color w:val="auto"/>
              </w:rPr>
            </w:pPr>
          </w:p>
        </w:tc>
        <w:tc>
          <w:tcPr>
            <w:tcW w:w="2575" w:type="dxa"/>
            <w:vMerge w:val="continue"/>
            <w:noWrap w:val="0"/>
            <w:vAlign w:val="center"/>
          </w:tcPr>
          <w:p w14:paraId="40742755">
            <w:pPr>
              <w:pStyle w:val="61"/>
              <w:spacing w:line="240" w:lineRule="auto"/>
              <w:rPr>
                <w:rFonts w:eastAsia="宋体" w:cs="Times New Roman"/>
                <w:color w:val="auto"/>
              </w:rPr>
            </w:pPr>
          </w:p>
        </w:tc>
        <w:tc>
          <w:tcPr>
            <w:tcW w:w="1233" w:type="dxa"/>
            <w:noWrap w:val="0"/>
            <w:vAlign w:val="center"/>
          </w:tcPr>
          <w:p w14:paraId="42317E1D">
            <w:pPr>
              <w:pStyle w:val="61"/>
              <w:spacing w:line="240" w:lineRule="auto"/>
              <w:rPr>
                <w:rFonts w:eastAsia="宋体" w:cs="Times New Roman"/>
                <w:color w:val="auto"/>
              </w:rPr>
            </w:pPr>
            <w:r>
              <w:rPr>
                <w:rFonts w:eastAsia="宋体" w:cs="Times New Roman"/>
                <w:color w:val="auto"/>
              </w:rPr>
              <w:t>结构施工</w:t>
            </w:r>
          </w:p>
        </w:tc>
        <w:tc>
          <w:tcPr>
            <w:tcW w:w="1240" w:type="dxa"/>
            <w:noWrap w:val="0"/>
            <w:vAlign w:val="center"/>
          </w:tcPr>
          <w:p w14:paraId="3705DC3C">
            <w:pPr>
              <w:pStyle w:val="61"/>
              <w:spacing w:line="240" w:lineRule="auto"/>
              <w:rPr>
                <w:rFonts w:eastAsia="宋体" w:cs="Times New Roman"/>
                <w:color w:val="auto"/>
              </w:rPr>
            </w:pPr>
            <w:r>
              <w:rPr>
                <w:rFonts w:hint="eastAsia" w:eastAsia="宋体" w:cs="Times New Roman"/>
                <w:color w:val="auto"/>
              </w:rPr>
              <w:t>≦</w:t>
            </w:r>
            <w:r>
              <w:rPr>
                <w:rFonts w:eastAsia="宋体" w:cs="Times New Roman"/>
                <w:color w:val="auto"/>
              </w:rPr>
              <w:t>70</w:t>
            </w:r>
          </w:p>
        </w:tc>
        <w:tc>
          <w:tcPr>
            <w:tcW w:w="1591" w:type="dxa"/>
            <w:noWrap w:val="0"/>
            <w:vAlign w:val="center"/>
          </w:tcPr>
          <w:p w14:paraId="2FEA49C5">
            <w:pPr>
              <w:pStyle w:val="61"/>
              <w:spacing w:line="240" w:lineRule="auto"/>
              <w:rPr>
                <w:rFonts w:eastAsia="宋体" w:cs="Times New Roman"/>
                <w:color w:val="auto"/>
              </w:rPr>
            </w:pPr>
            <w:r>
              <w:rPr>
                <w:rFonts w:hint="eastAsia" w:eastAsia="宋体" w:cs="Times New Roman"/>
                <w:color w:val="auto"/>
              </w:rPr>
              <w:t>≦</w:t>
            </w:r>
            <w:r>
              <w:rPr>
                <w:rFonts w:eastAsia="宋体" w:cs="Times New Roman"/>
                <w:color w:val="auto"/>
              </w:rPr>
              <w:t>55</w:t>
            </w:r>
          </w:p>
        </w:tc>
      </w:tr>
      <w:tr w14:paraId="037E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vMerge w:val="continue"/>
            <w:noWrap w:val="0"/>
            <w:vAlign w:val="center"/>
          </w:tcPr>
          <w:p w14:paraId="18140DD5">
            <w:pPr>
              <w:pStyle w:val="61"/>
              <w:spacing w:line="240" w:lineRule="auto"/>
              <w:rPr>
                <w:rFonts w:eastAsia="宋体" w:cs="Times New Roman"/>
                <w:color w:val="auto"/>
              </w:rPr>
            </w:pPr>
          </w:p>
        </w:tc>
        <w:tc>
          <w:tcPr>
            <w:tcW w:w="2013" w:type="dxa"/>
            <w:vMerge w:val="continue"/>
            <w:noWrap w:val="0"/>
            <w:vAlign w:val="center"/>
          </w:tcPr>
          <w:p w14:paraId="7492BED0">
            <w:pPr>
              <w:pStyle w:val="61"/>
              <w:spacing w:line="240" w:lineRule="auto"/>
              <w:rPr>
                <w:rFonts w:eastAsia="宋体" w:cs="Times New Roman"/>
                <w:color w:val="auto"/>
              </w:rPr>
            </w:pPr>
          </w:p>
        </w:tc>
        <w:tc>
          <w:tcPr>
            <w:tcW w:w="2575" w:type="dxa"/>
            <w:vMerge w:val="continue"/>
            <w:noWrap w:val="0"/>
            <w:vAlign w:val="center"/>
          </w:tcPr>
          <w:p w14:paraId="3FF813A0">
            <w:pPr>
              <w:pStyle w:val="61"/>
              <w:spacing w:line="240" w:lineRule="auto"/>
              <w:rPr>
                <w:rFonts w:eastAsia="宋体" w:cs="Times New Roman"/>
                <w:color w:val="auto"/>
              </w:rPr>
            </w:pPr>
          </w:p>
        </w:tc>
        <w:tc>
          <w:tcPr>
            <w:tcW w:w="1233" w:type="dxa"/>
            <w:noWrap w:val="0"/>
            <w:vAlign w:val="center"/>
          </w:tcPr>
          <w:p w14:paraId="62BAA37E">
            <w:pPr>
              <w:pStyle w:val="61"/>
              <w:spacing w:line="240" w:lineRule="auto"/>
              <w:rPr>
                <w:rFonts w:eastAsia="宋体" w:cs="Times New Roman"/>
                <w:color w:val="auto"/>
              </w:rPr>
            </w:pPr>
            <w:r>
              <w:rPr>
                <w:rFonts w:eastAsia="宋体" w:cs="Times New Roman"/>
                <w:color w:val="auto"/>
              </w:rPr>
              <w:t>装修施工</w:t>
            </w:r>
          </w:p>
        </w:tc>
        <w:tc>
          <w:tcPr>
            <w:tcW w:w="1240" w:type="dxa"/>
            <w:noWrap w:val="0"/>
            <w:vAlign w:val="center"/>
          </w:tcPr>
          <w:p w14:paraId="4C3FFA06">
            <w:pPr>
              <w:pStyle w:val="61"/>
              <w:spacing w:line="240" w:lineRule="auto"/>
              <w:rPr>
                <w:rFonts w:eastAsia="宋体" w:cs="Times New Roman"/>
                <w:color w:val="auto"/>
              </w:rPr>
            </w:pPr>
            <w:r>
              <w:rPr>
                <w:rFonts w:hint="eastAsia" w:eastAsia="宋体" w:cs="Times New Roman"/>
                <w:color w:val="auto"/>
              </w:rPr>
              <w:t>≦</w:t>
            </w:r>
            <w:r>
              <w:rPr>
                <w:rFonts w:eastAsia="宋体" w:cs="Times New Roman"/>
                <w:color w:val="auto"/>
              </w:rPr>
              <w:t>65</w:t>
            </w:r>
          </w:p>
        </w:tc>
        <w:tc>
          <w:tcPr>
            <w:tcW w:w="1591" w:type="dxa"/>
            <w:noWrap w:val="0"/>
            <w:vAlign w:val="center"/>
          </w:tcPr>
          <w:p w14:paraId="6FC6B156">
            <w:pPr>
              <w:pStyle w:val="61"/>
              <w:spacing w:line="240" w:lineRule="auto"/>
              <w:rPr>
                <w:rFonts w:eastAsia="宋体" w:cs="Times New Roman"/>
                <w:color w:val="auto"/>
              </w:rPr>
            </w:pPr>
            <w:r>
              <w:rPr>
                <w:rFonts w:hint="eastAsia" w:eastAsia="宋体" w:cs="Times New Roman"/>
                <w:color w:val="auto"/>
              </w:rPr>
              <w:t>≦</w:t>
            </w:r>
            <w:r>
              <w:rPr>
                <w:rFonts w:eastAsia="宋体" w:cs="Times New Roman"/>
                <w:color w:val="auto"/>
              </w:rPr>
              <w:t>55</w:t>
            </w:r>
          </w:p>
        </w:tc>
      </w:tr>
      <w:tr w14:paraId="2864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noWrap w:val="0"/>
            <w:vAlign w:val="center"/>
          </w:tcPr>
          <w:p w14:paraId="0B416956">
            <w:pPr>
              <w:pStyle w:val="61"/>
              <w:spacing w:line="240" w:lineRule="auto"/>
              <w:rPr>
                <w:rFonts w:eastAsia="宋体" w:cs="Times New Roman"/>
                <w:color w:val="auto"/>
              </w:rPr>
            </w:pPr>
            <w:r>
              <w:rPr>
                <w:rFonts w:eastAsia="宋体" w:cs="Times New Roman"/>
                <w:color w:val="auto"/>
              </w:rPr>
              <w:t>3</w:t>
            </w:r>
          </w:p>
        </w:tc>
        <w:tc>
          <w:tcPr>
            <w:tcW w:w="2013" w:type="dxa"/>
            <w:noWrap w:val="0"/>
            <w:vAlign w:val="center"/>
          </w:tcPr>
          <w:p w14:paraId="0D728E1A">
            <w:pPr>
              <w:pStyle w:val="61"/>
              <w:spacing w:line="240" w:lineRule="auto"/>
              <w:rPr>
                <w:rFonts w:eastAsia="宋体" w:cs="Times New Roman"/>
                <w:color w:val="auto"/>
              </w:rPr>
            </w:pPr>
            <w:r>
              <w:rPr>
                <w:rFonts w:eastAsia="宋体" w:cs="Times New Roman"/>
                <w:color w:val="auto"/>
              </w:rPr>
              <w:t>废水排放</w:t>
            </w:r>
          </w:p>
        </w:tc>
        <w:tc>
          <w:tcPr>
            <w:tcW w:w="2575" w:type="dxa"/>
            <w:noWrap w:val="0"/>
            <w:vAlign w:val="center"/>
          </w:tcPr>
          <w:p w14:paraId="7F43F510">
            <w:pPr>
              <w:pStyle w:val="61"/>
              <w:spacing w:line="240" w:lineRule="auto"/>
              <w:rPr>
                <w:rFonts w:eastAsia="宋体" w:cs="Times New Roman"/>
                <w:color w:val="auto"/>
              </w:rPr>
            </w:pPr>
            <w:r>
              <w:rPr>
                <w:rFonts w:eastAsia="宋体" w:cs="Times New Roman"/>
                <w:color w:val="auto"/>
              </w:rPr>
              <w:t>杜绝废水无组织排放</w:t>
            </w:r>
          </w:p>
        </w:tc>
        <w:tc>
          <w:tcPr>
            <w:tcW w:w="4064" w:type="dxa"/>
            <w:gridSpan w:val="3"/>
            <w:noWrap w:val="0"/>
            <w:vAlign w:val="center"/>
          </w:tcPr>
          <w:p w14:paraId="219D5309">
            <w:pPr>
              <w:pStyle w:val="61"/>
              <w:spacing w:line="240" w:lineRule="auto"/>
              <w:rPr>
                <w:rFonts w:eastAsia="宋体" w:cs="Times New Roman"/>
                <w:color w:val="auto"/>
              </w:rPr>
            </w:pPr>
            <w:r>
              <w:rPr>
                <w:rFonts w:eastAsia="宋体" w:cs="Times New Roman"/>
                <w:color w:val="auto"/>
              </w:rPr>
              <w:t>废水100%收集</w:t>
            </w:r>
          </w:p>
        </w:tc>
      </w:tr>
      <w:tr w14:paraId="3FE9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noWrap w:val="0"/>
            <w:vAlign w:val="center"/>
          </w:tcPr>
          <w:p w14:paraId="4FA00A34">
            <w:pPr>
              <w:pStyle w:val="61"/>
              <w:spacing w:line="240" w:lineRule="auto"/>
              <w:rPr>
                <w:rFonts w:eastAsia="宋体" w:cs="Times New Roman"/>
                <w:color w:val="auto"/>
              </w:rPr>
            </w:pPr>
            <w:r>
              <w:rPr>
                <w:rFonts w:eastAsia="宋体" w:cs="Times New Roman"/>
                <w:color w:val="auto"/>
              </w:rPr>
              <w:t>4</w:t>
            </w:r>
          </w:p>
        </w:tc>
        <w:tc>
          <w:tcPr>
            <w:tcW w:w="2013" w:type="dxa"/>
            <w:noWrap w:val="0"/>
            <w:vAlign w:val="center"/>
          </w:tcPr>
          <w:p w14:paraId="4E6E6861">
            <w:pPr>
              <w:pStyle w:val="61"/>
              <w:spacing w:line="240" w:lineRule="auto"/>
              <w:rPr>
                <w:rFonts w:eastAsia="宋体" w:cs="Times New Roman"/>
                <w:color w:val="auto"/>
              </w:rPr>
            </w:pPr>
            <w:r>
              <w:rPr>
                <w:rFonts w:eastAsia="宋体" w:cs="Times New Roman"/>
                <w:color w:val="auto"/>
              </w:rPr>
              <w:t>土石方遗洒</w:t>
            </w:r>
          </w:p>
        </w:tc>
        <w:tc>
          <w:tcPr>
            <w:tcW w:w="2575" w:type="dxa"/>
            <w:noWrap w:val="0"/>
            <w:vAlign w:val="center"/>
          </w:tcPr>
          <w:p w14:paraId="12CB4136">
            <w:pPr>
              <w:pStyle w:val="61"/>
              <w:spacing w:line="240" w:lineRule="auto"/>
              <w:rPr>
                <w:rFonts w:eastAsia="宋体" w:cs="Times New Roman"/>
                <w:color w:val="auto"/>
              </w:rPr>
            </w:pPr>
            <w:r>
              <w:rPr>
                <w:rFonts w:eastAsia="宋体" w:cs="Times New Roman"/>
                <w:color w:val="auto"/>
              </w:rPr>
              <w:t>杜绝道路遗洒</w:t>
            </w:r>
          </w:p>
        </w:tc>
        <w:tc>
          <w:tcPr>
            <w:tcW w:w="4064" w:type="dxa"/>
            <w:gridSpan w:val="3"/>
            <w:noWrap w:val="0"/>
            <w:vAlign w:val="center"/>
          </w:tcPr>
          <w:p w14:paraId="55341B48">
            <w:pPr>
              <w:pStyle w:val="61"/>
              <w:spacing w:line="240" w:lineRule="auto"/>
              <w:rPr>
                <w:rFonts w:eastAsia="宋体" w:cs="Times New Roman"/>
                <w:color w:val="auto"/>
              </w:rPr>
            </w:pPr>
            <w:r>
              <w:rPr>
                <w:rFonts w:eastAsia="宋体" w:cs="Times New Roman"/>
                <w:color w:val="auto"/>
              </w:rPr>
              <w:t>运输车辆覆盖率100%</w:t>
            </w:r>
          </w:p>
          <w:p w14:paraId="7C063440">
            <w:pPr>
              <w:pStyle w:val="61"/>
              <w:spacing w:line="240" w:lineRule="auto"/>
              <w:rPr>
                <w:rFonts w:eastAsia="宋体" w:cs="Times New Roman"/>
                <w:color w:val="auto"/>
              </w:rPr>
            </w:pPr>
            <w:r>
              <w:rPr>
                <w:rFonts w:eastAsia="宋体" w:cs="Times New Roman"/>
                <w:color w:val="auto"/>
              </w:rPr>
              <w:t>车辆进出场冲洗率80%</w:t>
            </w:r>
          </w:p>
        </w:tc>
      </w:tr>
      <w:tr w14:paraId="6921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noWrap w:val="0"/>
            <w:vAlign w:val="center"/>
          </w:tcPr>
          <w:p w14:paraId="4AD1DD2B">
            <w:pPr>
              <w:pStyle w:val="61"/>
              <w:spacing w:line="240" w:lineRule="auto"/>
              <w:rPr>
                <w:rFonts w:eastAsia="宋体" w:cs="Times New Roman"/>
                <w:color w:val="auto"/>
              </w:rPr>
            </w:pPr>
            <w:r>
              <w:rPr>
                <w:rFonts w:eastAsia="宋体" w:cs="Times New Roman"/>
                <w:color w:val="auto"/>
              </w:rPr>
              <w:t>5</w:t>
            </w:r>
          </w:p>
        </w:tc>
        <w:tc>
          <w:tcPr>
            <w:tcW w:w="2013" w:type="dxa"/>
            <w:noWrap w:val="0"/>
            <w:vAlign w:val="center"/>
          </w:tcPr>
          <w:p w14:paraId="3F0DE801">
            <w:pPr>
              <w:pStyle w:val="61"/>
              <w:spacing w:line="240" w:lineRule="auto"/>
              <w:rPr>
                <w:rFonts w:eastAsia="宋体" w:cs="Times New Roman"/>
                <w:color w:val="auto"/>
              </w:rPr>
            </w:pPr>
            <w:r>
              <w:rPr>
                <w:rFonts w:eastAsia="宋体" w:cs="Times New Roman"/>
                <w:color w:val="auto"/>
              </w:rPr>
              <w:t>固体废弃物</w:t>
            </w:r>
          </w:p>
        </w:tc>
        <w:tc>
          <w:tcPr>
            <w:tcW w:w="2575" w:type="dxa"/>
            <w:noWrap w:val="0"/>
            <w:vAlign w:val="center"/>
          </w:tcPr>
          <w:p w14:paraId="4059D356">
            <w:pPr>
              <w:pStyle w:val="61"/>
              <w:spacing w:line="240" w:lineRule="auto"/>
              <w:rPr>
                <w:rFonts w:eastAsia="宋体" w:cs="Times New Roman"/>
                <w:color w:val="auto"/>
              </w:rPr>
            </w:pPr>
            <w:r>
              <w:rPr>
                <w:rFonts w:eastAsia="宋体" w:cs="Times New Roman"/>
                <w:color w:val="auto"/>
              </w:rPr>
              <w:t>垃圾严格分类管理</w:t>
            </w:r>
          </w:p>
          <w:p w14:paraId="1574D93C">
            <w:pPr>
              <w:pStyle w:val="61"/>
              <w:spacing w:line="240" w:lineRule="auto"/>
              <w:rPr>
                <w:rFonts w:eastAsia="宋体" w:cs="Times New Roman"/>
                <w:color w:val="auto"/>
              </w:rPr>
            </w:pPr>
            <w:r>
              <w:rPr>
                <w:rFonts w:eastAsia="宋体" w:cs="Times New Roman"/>
                <w:color w:val="auto"/>
              </w:rPr>
              <w:t>可回收废物及时回收</w:t>
            </w:r>
          </w:p>
        </w:tc>
        <w:tc>
          <w:tcPr>
            <w:tcW w:w="4064" w:type="dxa"/>
            <w:gridSpan w:val="3"/>
            <w:noWrap w:val="0"/>
            <w:vAlign w:val="center"/>
          </w:tcPr>
          <w:p w14:paraId="33144298">
            <w:pPr>
              <w:pStyle w:val="61"/>
              <w:spacing w:line="240" w:lineRule="auto"/>
              <w:rPr>
                <w:rFonts w:eastAsia="宋体" w:cs="Times New Roman"/>
                <w:color w:val="auto"/>
              </w:rPr>
            </w:pPr>
            <w:r>
              <w:rPr>
                <w:rFonts w:eastAsia="宋体" w:cs="Times New Roman"/>
                <w:color w:val="auto"/>
              </w:rPr>
              <w:t>分类管理率100%</w:t>
            </w:r>
          </w:p>
          <w:p w14:paraId="03D22194">
            <w:pPr>
              <w:pStyle w:val="61"/>
              <w:spacing w:line="240" w:lineRule="auto"/>
              <w:rPr>
                <w:rFonts w:eastAsia="宋体" w:cs="Times New Roman"/>
                <w:color w:val="auto"/>
              </w:rPr>
            </w:pPr>
            <w:r>
              <w:rPr>
                <w:rFonts w:eastAsia="宋体" w:cs="Times New Roman"/>
                <w:color w:val="auto"/>
              </w:rPr>
              <w:t>有毒害废弃物处置合法率100%</w:t>
            </w:r>
          </w:p>
        </w:tc>
      </w:tr>
      <w:tr w14:paraId="0DB8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noWrap w:val="0"/>
            <w:vAlign w:val="center"/>
          </w:tcPr>
          <w:p w14:paraId="7C98DA5E">
            <w:pPr>
              <w:pStyle w:val="61"/>
              <w:spacing w:line="240" w:lineRule="auto"/>
              <w:rPr>
                <w:rFonts w:eastAsia="宋体" w:cs="Times New Roman"/>
                <w:color w:val="auto"/>
              </w:rPr>
            </w:pPr>
            <w:r>
              <w:rPr>
                <w:rFonts w:eastAsia="宋体" w:cs="Times New Roman"/>
                <w:color w:val="auto"/>
              </w:rPr>
              <w:t>6</w:t>
            </w:r>
          </w:p>
        </w:tc>
        <w:tc>
          <w:tcPr>
            <w:tcW w:w="2013" w:type="dxa"/>
            <w:noWrap w:val="0"/>
            <w:vAlign w:val="center"/>
          </w:tcPr>
          <w:p w14:paraId="71865936">
            <w:pPr>
              <w:pStyle w:val="61"/>
              <w:spacing w:line="240" w:lineRule="auto"/>
              <w:rPr>
                <w:rFonts w:eastAsia="宋体" w:cs="Times New Roman"/>
                <w:color w:val="auto"/>
              </w:rPr>
            </w:pPr>
            <w:r>
              <w:rPr>
                <w:rFonts w:eastAsia="宋体" w:cs="Times New Roman"/>
                <w:color w:val="auto"/>
              </w:rPr>
              <w:t>油品遗洒</w:t>
            </w:r>
          </w:p>
        </w:tc>
        <w:tc>
          <w:tcPr>
            <w:tcW w:w="2575" w:type="dxa"/>
            <w:noWrap w:val="0"/>
            <w:vAlign w:val="center"/>
          </w:tcPr>
          <w:p w14:paraId="13F1CA39">
            <w:pPr>
              <w:pStyle w:val="61"/>
              <w:spacing w:line="240" w:lineRule="auto"/>
              <w:rPr>
                <w:rFonts w:eastAsia="宋体" w:cs="Times New Roman"/>
                <w:color w:val="auto"/>
              </w:rPr>
            </w:pPr>
            <w:r>
              <w:rPr>
                <w:rFonts w:eastAsia="宋体" w:cs="Times New Roman"/>
                <w:color w:val="auto"/>
              </w:rPr>
              <w:t>杜绝油品污染土地</w:t>
            </w:r>
          </w:p>
        </w:tc>
        <w:tc>
          <w:tcPr>
            <w:tcW w:w="4064" w:type="dxa"/>
            <w:gridSpan w:val="3"/>
            <w:noWrap w:val="0"/>
            <w:vAlign w:val="center"/>
          </w:tcPr>
          <w:p w14:paraId="15E30777">
            <w:pPr>
              <w:pStyle w:val="61"/>
              <w:spacing w:line="240" w:lineRule="auto"/>
              <w:rPr>
                <w:rFonts w:eastAsia="宋体" w:cs="Times New Roman"/>
                <w:color w:val="auto"/>
              </w:rPr>
            </w:pPr>
            <w:r>
              <w:rPr>
                <w:rFonts w:eastAsia="宋体" w:cs="Times New Roman"/>
                <w:color w:val="auto"/>
              </w:rPr>
              <w:t>遗洒油、废油100%收集处理</w:t>
            </w:r>
          </w:p>
        </w:tc>
      </w:tr>
      <w:tr w14:paraId="69C9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8" w:type="dxa"/>
            <w:noWrap w:val="0"/>
            <w:vAlign w:val="center"/>
          </w:tcPr>
          <w:p w14:paraId="7462A5E7">
            <w:pPr>
              <w:pStyle w:val="61"/>
              <w:spacing w:line="240" w:lineRule="auto"/>
              <w:rPr>
                <w:rFonts w:eastAsia="宋体" w:cs="Times New Roman"/>
                <w:color w:val="auto"/>
              </w:rPr>
            </w:pPr>
            <w:r>
              <w:rPr>
                <w:rFonts w:eastAsia="宋体" w:cs="Times New Roman"/>
                <w:color w:val="auto"/>
              </w:rPr>
              <w:t>7</w:t>
            </w:r>
          </w:p>
        </w:tc>
        <w:tc>
          <w:tcPr>
            <w:tcW w:w="2013" w:type="dxa"/>
            <w:noWrap w:val="0"/>
            <w:vAlign w:val="center"/>
          </w:tcPr>
          <w:p w14:paraId="26E07CEF">
            <w:pPr>
              <w:pStyle w:val="61"/>
              <w:spacing w:line="240" w:lineRule="auto"/>
              <w:rPr>
                <w:rFonts w:eastAsia="宋体" w:cs="Times New Roman"/>
                <w:color w:val="auto"/>
              </w:rPr>
            </w:pPr>
            <w:r>
              <w:rPr>
                <w:rFonts w:eastAsia="宋体" w:cs="Times New Roman"/>
                <w:color w:val="auto"/>
              </w:rPr>
              <w:t>光污染</w:t>
            </w:r>
          </w:p>
        </w:tc>
        <w:tc>
          <w:tcPr>
            <w:tcW w:w="2575" w:type="dxa"/>
            <w:noWrap w:val="0"/>
            <w:vAlign w:val="center"/>
          </w:tcPr>
          <w:p w14:paraId="7F8E0E5A">
            <w:pPr>
              <w:pStyle w:val="61"/>
              <w:spacing w:line="240" w:lineRule="auto"/>
              <w:rPr>
                <w:rFonts w:eastAsia="宋体" w:cs="Times New Roman"/>
                <w:color w:val="auto"/>
              </w:rPr>
            </w:pPr>
            <w:r>
              <w:rPr>
                <w:rFonts w:eastAsia="宋体" w:cs="Times New Roman"/>
                <w:color w:val="auto"/>
              </w:rPr>
              <w:t>闪光对焊围护施工</w:t>
            </w:r>
          </w:p>
        </w:tc>
        <w:tc>
          <w:tcPr>
            <w:tcW w:w="4064" w:type="dxa"/>
            <w:gridSpan w:val="3"/>
            <w:noWrap w:val="0"/>
            <w:vAlign w:val="center"/>
          </w:tcPr>
          <w:p w14:paraId="67FA528D">
            <w:pPr>
              <w:pStyle w:val="61"/>
              <w:spacing w:line="240" w:lineRule="auto"/>
              <w:rPr>
                <w:rFonts w:eastAsia="宋体" w:cs="Times New Roman"/>
                <w:color w:val="auto"/>
              </w:rPr>
            </w:pPr>
            <w:r>
              <w:rPr>
                <w:rFonts w:eastAsia="宋体" w:cs="Times New Roman"/>
                <w:color w:val="auto"/>
              </w:rPr>
              <w:t>围护率100%</w:t>
            </w:r>
          </w:p>
        </w:tc>
      </w:tr>
    </w:tbl>
    <w:p w14:paraId="369B6E14">
      <w:pPr>
        <w:pStyle w:val="8"/>
        <w:rPr>
          <w:color w:val="auto"/>
        </w:rPr>
      </w:pPr>
      <w:r>
        <w:rPr>
          <w:rFonts w:hint="eastAsia"/>
          <w:color w:val="auto"/>
        </w:rPr>
        <w:t>环境因素辨识</w:t>
      </w:r>
    </w:p>
    <w:p w14:paraId="1724E1FC">
      <w:pPr>
        <w:ind w:firstLine="480"/>
        <w:rPr>
          <w:rFonts w:ascii="宋体" w:hAnsi="宋体"/>
          <w:color w:val="auto"/>
        </w:rPr>
      </w:pPr>
      <w:r>
        <w:rPr>
          <w:rFonts w:hint="eastAsia" w:ascii="宋体" w:hAnsi="宋体"/>
          <w:color w:val="auto"/>
        </w:rPr>
        <w:t>综合考虑本工程影响范围、影响程度、发生频次、社会关注度和法规符合性等方面，确定本工程的环境因素。</w:t>
      </w:r>
    </w:p>
    <w:p w14:paraId="1F20F7CA">
      <w:pPr>
        <w:pStyle w:val="65"/>
        <w:rPr>
          <w:color w:val="auto"/>
        </w:rPr>
      </w:pPr>
      <w:r>
        <w:rPr>
          <w:rFonts w:hint="eastAsia"/>
          <w:color w:val="auto"/>
        </w:rPr>
        <w:t>环境因素辨识一览表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831"/>
        <w:gridCol w:w="6301"/>
      </w:tblGrid>
      <w:tr w14:paraId="3DBB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8" w:type="dxa"/>
            <w:noWrap w:val="0"/>
            <w:vAlign w:val="center"/>
          </w:tcPr>
          <w:p w14:paraId="72F70B32">
            <w:pPr>
              <w:pStyle w:val="61"/>
              <w:spacing w:line="240" w:lineRule="auto"/>
              <w:rPr>
                <w:rFonts w:eastAsia="宋体" w:cs="Times New Roman"/>
                <w:color w:val="auto"/>
              </w:rPr>
            </w:pPr>
            <w:r>
              <w:rPr>
                <w:rFonts w:eastAsia="宋体" w:cs="Times New Roman"/>
                <w:color w:val="auto"/>
              </w:rPr>
              <w:t>序号</w:t>
            </w:r>
          </w:p>
        </w:tc>
        <w:tc>
          <w:tcPr>
            <w:tcW w:w="1831" w:type="dxa"/>
            <w:noWrap w:val="0"/>
            <w:vAlign w:val="center"/>
          </w:tcPr>
          <w:p w14:paraId="663FC851">
            <w:pPr>
              <w:pStyle w:val="61"/>
              <w:spacing w:line="240" w:lineRule="auto"/>
              <w:rPr>
                <w:rFonts w:eastAsia="宋体" w:cs="Times New Roman"/>
                <w:color w:val="auto"/>
              </w:rPr>
            </w:pPr>
            <w:r>
              <w:rPr>
                <w:rFonts w:eastAsia="宋体" w:cs="Times New Roman"/>
                <w:color w:val="auto"/>
              </w:rPr>
              <w:t>重要环境因素</w:t>
            </w:r>
          </w:p>
        </w:tc>
        <w:tc>
          <w:tcPr>
            <w:tcW w:w="6301" w:type="dxa"/>
            <w:noWrap w:val="0"/>
            <w:vAlign w:val="center"/>
          </w:tcPr>
          <w:p w14:paraId="0C950F3F">
            <w:pPr>
              <w:pStyle w:val="61"/>
              <w:spacing w:line="240" w:lineRule="auto"/>
              <w:rPr>
                <w:rFonts w:eastAsia="宋体" w:cs="Times New Roman"/>
                <w:color w:val="auto"/>
              </w:rPr>
            </w:pPr>
            <w:r>
              <w:rPr>
                <w:rFonts w:eastAsia="宋体" w:cs="Times New Roman"/>
                <w:color w:val="auto"/>
              </w:rPr>
              <w:t>辨识</w:t>
            </w:r>
          </w:p>
        </w:tc>
      </w:tr>
      <w:tr w14:paraId="7A05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8" w:type="dxa"/>
            <w:noWrap w:val="0"/>
            <w:vAlign w:val="center"/>
          </w:tcPr>
          <w:p w14:paraId="677E1497">
            <w:pPr>
              <w:pStyle w:val="61"/>
              <w:spacing w:line="240" w:lineRule="auto"/>
              <w:rPr>
                <w:rFonts w:eastAsia="宋体" w:cs="Times New Roman"/>
                <w:color w:val="auto"/>
              </w:rPr>
            </w:pPr>
            <w:r>
              <w:rPr>
                <w:rFonts w:eastAsia="宋体" w:cs="Times New Roman"/>
                <w:color w:val="auto"/>
              </w:rPr>
              <w:t>1</w:t>
            </w:r>
          </w:p>
        </w:tc>
        <w:tc>
          <w:tcPr>
            <w:tcW w:w="1831" w:type="dxa"/>
            <w:noWrap w:val="0"/>
            <w:vAlign w:val="center"/>
          </w:tcPr>
          <w:p w14:paraId="32FE87A8">
            <w:pPr>
              <w:pStyle w:val="61"/>
              <w:spacing w:line="240" w:lineRule="auto"/>
              <w:rPr>
                <w:rFonts w:eastAsia="宋体" w:cs="Times New Roman"/>
                <w:color w:val="auto"/>
              </w:rPr>
            </w:pPr>
            <w:r>
              <w:rPr>
                <w:rFonts w:eastAsia="宋体" w:cs="Times New Roman"/>
                <w:color w:val="auto"/>
              </w:rPr>
              <w:t>粉尘飞扬</w:t>
            </w:r>
          </w:p>
        </w:tc>
        <w:tc>
          <w:tcPr>
            <w:tcW w:w="6301" w:type="dxa"/>
            <w:noWrap w:val="0"/>
            <w:vAlign w:val="center"/>
          </w:tcPr>
          <w:p w14:paraId="1867A676">
            <w:pPr>
              <w:pStyle w:val="61"/>
              <w:spacing w:line="240" w:lineRule="auto"/>
              <w:jc w:val="left"/>
              <w:rPr>
                <w:rFonts w:eastAsia="宋体" w:cs="Times New Roman"/>
                <w:color w:val="auto"/>
              </w:rPr>
            </w:pPr>
            <w:r>
              <w:rPr>
                <w:rFonts w:eastAsia="宋体" w:cs="Times New Roman"/>
                <w:color w:val="auto"/>
              </w:rPr>
              <w:t>现场面积大，地面裸露面积大，易产生大量粉尘。</w:t>
            </w:r>
          </w:p>
        </w:tc>
      </w:tr>
      <w:tr w14:paraId="5FA4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8" w:type="dxa"/>
            <w:noWrap w:val="0"/>
            <w:vAlign w:val="center"/>
          </w:tcPr>
          <w:p w14:paraId="177C0F1A">
            <w:pPr>
              <w:pStyle w:val="61"/>
              <w:spacing w:line="240" w:lineRule="auto"/>
              <w:rPr>
                <w:rFonts w:eastAsia="宋体" w:cs="Times New Roman"/>
                <w:color w:val="auto"/>
              </w:rPr>
            </w:pPr>
            <w:r>
              <w:rPr>
                <w:rFonts w:eastAsia="宋体" w:cs="Times New Roman"/>
                <w:color w:val="auto"/>
              </w:rPr>
              <w:t>2</w:t>
            </w:r>
          </w:p>
        </w:tc>
        <w:tc>
          <w:tcPr>
            <w:tcW w:w="1831" w:type="dxa"/>
            <w:noWrap w:val="0"/>
            <w:vAlign w:val="center"/>
          </w:tcPr>
          <w:p w14:paraId="1A2A8945">
            <w:pPr>
              <w:pStyle w:val="61"/>
              <w:spacing w:line="240" w:lineRule="auto"/>
              <w:rPr>
                <w:rFonts w:eastAsia="宋体" w:cs="Times New Roman"/>
                <w:color w:val="auto"/>
              </w:rPr>
            </w:pPr>
            <w:r>
              <w:rPr>
                <w:rFonts w:eastAsia="宋体" w:cs="Times New Roman"/>
                <w:color w:val="auto"/>
              </w:rPr>
              <w:t>施工噪声</w:t>
            </w:r>
          </w:p>
        </w:tc>
        <w:tc>
          <w:tcPr>
            <w:tcW w:w="6301" w:type="dxa"/>
            <w:noWrap w:val="0"/>
            <w:vAlign w:val="center"/>
          </w:tcPr>
          <w:p w14:paraId="12CA0F14">
            <w:pPr>
              <w:pStyle w:val="61"/>
              <w:spacing w:line="240" w:lineRule="auto"/>
              <w:jc w:val="left"/>
              <w:rPr>
                <w:rFonts w:eastAsia="宋体" w:cs="Times New Roman"/>
                <w:color w:val="auto"/>
              </w:rPr>
            </w:pPr>
            <w:r>
              <w:rPr>
                <w:rFonts w:eastAsia="宋体" w:cs="Times New Roman"/>
                <w:color w:val="auto"/>
              </w:rPr>
              <w:t>施工人员、机械多，混凝土泵送、管道切割、木工机械、空压机作业频率高，产生的噪声大。</w:t>
            </w:r>
          </w:p>
        </w:tc>
      </w:tr>
      <w:tr w14:paraId="125F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8" w:type="dxa"/>
            <w:noWrap w:val="0"/>
            <w:vAlign w:val="center"/>
          </w:tcPr>
          <w:p w14:paraId="4E270605">
            <w:pPr>
              <w:pStyle w:val="61"/>
              <w:spacing w:line="240" w:lineRule="auto"/>
              <w:rPr>
                <w:rFonts w:eastAsia="宋体" w:cs="Times New Roman"/>
                <w:color w:val="auto"/>
              </w:rPr>
            </w:pPr>
            <w:r>
              <w:rPr>
                <w:rFonts w:eastAsia="宋体" w:cs="Times New Roman"/>
                <w:color w:val="auto"/>
              </w:rPr>
              <w:t>3</w:t>
            </w:r>
          </w:p>
        </w:tc>
        <w:tc>
          <w:tcPr>
            <w:tcW w:w="1831" w:type="dxa"/>
            <w:noWrap w:val="0"/>
            <w:vAlign w:val="center"/>
          </w:tcPr>
          <w:p w14:paraId="6B8CC624">
            <w:pPr>
              <w:pStyle w:val="61"/>
              <w:spacing w:line="240" w:lineRule="auto"/>
              <w:rPr>
                <w:rFonts w:eastAsia="宋体" w:cs="Times New Roman"/>
                <w:color w:val="auto"/>
              </w:rPr>
            </w:pPr>
            <w:r>
              <w:rPr>
                <w:rFonts w:eastAsia="宋体" w:cs="Times New Roman"/>
                <w:color w:val="auto"/>
              </w:rPr>
              <w:t>废水排放</w:t>
            </w:r>
          </w:p>
        </w:tc>
        <w:tc>
          <w:tcPr>
            <w:tcW w:w="6301" w:type="dxa"/>
            <w:noWrap w:val="0"/>
            <w:vAlign w:val="center"/>
          </w:tcPr>
          <w:p w14:paraId="57EEF3E7">
            <w:pPr>
              <w:pStyle w:val="61"/>
              <w:spacing w:line="240" w:lineRule="auto"/>
              <w:jc w:val="left"/>
              <w:rPr>
                <w:rFonts w:eastAsia="宋体" w:cs="Times New Roman"/>
                <w:color w:val="auto"/>
              </w:rPr>
            </w:pPr>
            <w:r>
              <w:rPr>
                <w:rFonts w:eastAsia="宋体" w:cs="Times New Roman"/>
                <w:color w:val="auto"/>
              </w:rPr>
              <w:t>施工作业人员多，在施工过程中会产生大量生产及生活废水。</w:t>
            </w:r>
          </w:p>
        </w:tc>
      </w:tr>
      <w:tr w14:paraId="644E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8" w:type="dxa"/>
            <w:noWrap w:val="0"/>
            <w:vAlign w:val="center"/>
          </w:tcPr>
          <w:p w14:paraId="1B19DF64">
            <w:pPr>
              <w:pStyle w:val="61"/>
              <w:spacing w:line="240" w:lineRule="auto"/>
              <w:rPr>
                <w:rFonts w:eastAsia="宋体" w:cs="Times New Roman"/>
                <w:color w:val="auto"/>
              </w:rPr>
            </w:pPr>
            <w:r>
              <w:rPr>
                <w:rFonts w:eastAsia="宋体" w:cs="Times New Roman"/>
                <w:color w:val="auto"/>
              </w:rPr>
              <w:t>4</w:t>
            </w:r>
          </w:p>
        </w:tc>
        <w:tc>
          <w:tcPr>
            <w:tcW w:w="1831" w:type="dxa"/>
            <w:noWrap w:val="0"/>
            <w:vAlign w:val="center"/>
          </w:tcPr>
          <w:p w14:paraId="0FD3F9CD">
            <w:pPr>
              <w:pStyle w:val="61"/>
              <w:spacing w:line="240" w:lineRule="auto"/>
              <w:rPr>
                <w:rFonts w:eastAsia="宋体" w:cs="Times New Roman"/>
                <w:color w:val="auto"/>
              </w:rPr>
            </w:pPr>
            <w:r>
              <w:rPr>
                <w:rFonts w:eastAsia="宋体" w:cs="Times New Roman"/>
                <w:color w:val="auto"/>
              </w:rPr>
              <w:t>土石方遗洒</w:t>
            </w:r>
          </w:p>
        </w:tc>
        <w:tc>
          <w:tcPr>
            <w:tcW w:w="6301" w:type="dxa"/>
            <w:noWrap w:val="0"/>
            <w:vAlign w:val="center"/>
          </w:tcPr>
          <w:p w14:paraId="73CB807A">
            <w:pPr>
              <w:pStyle w:val="61"/>
              <w:spacing w:line="240" w:lineRule="auto"/>
              <w:jc w:val="left"/>
              <w:rPr>
                <w:rFonts w:eastAsia="宋体" w:cs="Times New Roman"/>
                <w:color w:val="auto"/>
              </w:rPr>
            </w:pPr>
            <w:r>
              <w:rPr>
                <w:rFonts w:eastAsia="宋体" w:cs="Times New Roman"/>
                <w:color w:val="auto"/>
              </w:rPr>
              <w:t>在外运过程中遗洒或污染施工道路等。</w:t>
            </w:r>
          </w:p>
        </w:tc>
      </w:tr>
      <w:tr w14:paraId="57B2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8" w:type="dxa"/>
            <w:noWrap w:val="0"/>
            <w:vAlign w:val="center"/>
          </w:tcPr>
          <w:p w14:paraId="25831221">
            <w:pPr>
              <w:pStyle w:val="61"/>
              <w:spacing w:line="240" w:lineRule="auto"/>
              <w:rPr>
                <w:rFonts w:eastAsia="宋体" w:cs="Times New Roman"/>
                <w:color w:val="auto"/>
              </w:rPr>
            </w:pPr>
            <w:r>
              <w:rPr>
                <w:rFonts w:eastAsia="宋体" w:cs="Times New Roman"/>
                <w:color w:val="auto"/>
              </w:rPr>
              <w:t>5</w:t>
            </w:r>
          </w:p>
        </w:tc>
        <w:tc>
          <w:tcPr>
            <w:tcW w:w="1831" w:type="dxa"/>
            <w:noWrap w:val="0"/>
            <w:vAlign w:val="center"/>
          </w:tcPr>
          <w:p w14:paraId="3B98E70E">
            <w:pPr>
              <w:pStyle w:val="61"/>
              <w:spacing w:line="240" w:lineRule="auto"/>
              <w:rPr>
                <w:rFonts w:eastAsia="宋体" w:cs="Times New Roman"/>
                <w:color w:val="auto"/>
              </w:rPr>
            </w:pPr>
            <w:r>
              <w:rPr>
                <w:rFonts w:eastAsia="宋体" w:cs="Times New Roman"/>
                <w:color w:val="auto"/>
              </w:rPr>
              <w:t>固体废弃物</w:t>
            </w:r>
          </w:p>
        </w:tc>
        <w:tc>
          <w:tcPr>
            <w:tcW w:w="6301" w:type="dxa"/>
            <w:noWrap w:val="0"/>
            <w:vAlign w:val="center"/>
          </w:tcPr>
          <w:p w14:paraId="10D37CB9">
            <w:pPr>
              <w:pStyle w:val="61"/>
              <w:spacing w:line="240" w:lineRule="auto"/>
              <w:jc w:val="left"/>
              <w:rPr>
                <w:rFonts w:eastAsia="宋体" w:cs="Times New Roman"/>
                <w:color w:val="auto"/>
              </w:rPr>
            </w:pPr>
            <w:r>
              <w:rPr>
                <w:rFonts w:eastAsia="宋体" w:cs="Times New Roman"/>
                <w:color w:val="auto"/>
              </w:rPr>
              <w:t>1) 建筑垃圾:在施工过程中，产生大量的木方尾料、钢筋头、电焊头，模板、装饰材料的边角料等。</w:t>
            </w:r>
          </w:p>
          <w:p w14:paraId="77BAB881">
            <w:pPr>
              <w:pStyle w:val="61"/>
              <w:spacing w:line="240" w:lineRule="auto"/>
              <w:jc w:val="left"/>
              <w:rPr>
                <w:rFonts w:eastAsia="宋体" w:cs="Times New Roman"/>
                <w:color w:val="auto"/>
              </w:rPr>
            </w:pPr>
            <w:r>
              <w:rPr>
                <w:rFonts w:eastAsia="宋体" w:cs="Times New Roman"/>
                <w:color w:val="auto"/>
              </w:rPr>
              <w:t>2) 生活垃圾：施工人员多，食品残渣、塑料包装等；</w:t>
            </w:r>
          </w:p>
          <w:p w14:paraId="71F9BAE4">
            <w:pPr>
              <w:pStyle w:val="61"/>
              <w:spacing w:line="240" w:lineRule="auto"/>
              <w:jc w:val="left"/>
              <w:rPr>
                <w:rFonts w:eastAsia="宋体" w:cs="Times New Roman"/>
                <w:color w:val="auto"/>
              </w:rPr>
            </w:pPr>
            <w:r>
              <w:rPr>
                <w:rFonts w:eastAsia="宋体" w:cs="Times New Roman"/>
                <w:color w:val="auto"/>
              </w:rPr>
              <w:t>3) 办公垃圾：废弃墨盒、圆珠笔芯、油墨、废弃电池、废弃日光管、复写纸等。</w:t>
            </w:r>
          </w:p>
        </w:tc>
      </w:tr>
      <w:tr w14:paraId="0E40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8" w:type="dxa"/>
            <w:noWrap w:val="0"/>
            <w:vAlign w:val="center"/>
          </w:tcPr>
          <w:p w14:paraId="2E8A4BE3">
            <w:pPr>
              <w:pStyle w:val="61"/>
              <w:spacing w:line="240" w:lineRule="auto"/>
              <w:rPr>
                <w:rFonts w:eastAsia="宋体" w:cs="Times New Roman"/>
                <w:color w:val="auto"/>
              </w:rPr>
            </w:pPr>
            <w:r>
              <w:rPr>
                <w:rFonts w:eastAsia="宋体" w:cs="Times New Roman"/>
                <w:color w:val="auto"/>
              </w:rPr>
              <w:t>6</w:t>
            </w:r>
          </w:p>
        </w:tc>
        <w:tc>
          <w:tcPr>
            <w:tcW w:w="1831" w:type="dxa"/>
            <w:noWrap w:val="0"/>
            <w:vAlign w:val="center"/>
          </w:tcPr>
          <w:p w14:paraId="5997A69E">
            <w:pPr>
              <w:pStyle w:val="61"/>
              <w:spacing w:line="240" w:lineRule="auto"/>
              <w:rPr>
                <w:rFonts w:eastAsia="宋体" w:cs="Times New Roman"/>
                <w:color w:val="auto"/>
              </w:rPr>
            </w:pPr>
            <w:r>
              <w:rPr>
                <w:rFonts w:eastAsia="宋体" w:cs="Times New Roman"/>
                <w:color w:val="auto"/>
              </w:rPr>
              <w:t>油品遗洒</w:t>
            </w:r>
          </w:p>
        </w:tc>
        <w:tc>
          <w:tcPr>
            <w:tcW w:w="6301" w:type="dxa"/>
            <w:noWrap w:val="0"/>
            <w:vAlign w:val="center"/>
          </w:tcPr>
          <w:p w14:paraId="2ECA5049">
            <w:pPr>
              <w:pStyle w:val="61"/>
              <w:spacing w:line="240" w:lineRule="auto"/>
              <w:jc w:val="left"/>
              <w:rPr>
                <w:rFonts w:eastAsia="宋体" w:cs="Times New Roman"/>
                <w:color w:val="auto"/>
              </w:rPr>
            </w:pPr>
            <w:r>
              <w:rPr>
                <w:rFonts w:eastAsia="宋体" w:cs="Times New Roman"/>
                <w:color w:val="auto"/>
              </w:rPr>
              <w:t>在机械使用和维护过程中使用油有遗洒可能。</w:t>
            </w:r>
          </w:p>
        </w:tc>
      </w:tr>
      <w:tr w14:paraId="1DFE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8" w:type="dxa"/>
            <w:noWrap w:val="0"/>
            <w:vAlign w:val="center"/>
          </w:tcPr>
          <w:p w14:paraId="33CE5905">
            <w:pPr>
              <w:pStyle w:val="61"/>
              <w:spacing w:line="240" w:lineRule="auto"/>
              <w:rPr>
                <w:rFonts w:eastAsia="宋体" w:cs="Times New Roman"/>
                <w:color w:val="auto"/>
              </w:rPr>
            </w:pPr>
            <w:r>
              <w:rPr>
                <w:rFonts w:eastAsia="宋体" w:cs="Times New Roman"/>
                <w:color w:val="auto"/>
              </w:rPr>
              <w:t>7</w:t>
            </w:r>
          </w:p>
        </w:tc>
        <w:tc>
          <w:tcPr>
            <w:tcW w:w="1831" w:type="dxa"/>
            <w:noWrap w:val="0"/>
            <w:vAlign w:val="center"/>
          </w:tcPr>
          <w:p w14:paraId="1995F3F9">
            <w:pPr>
              <w:pStyle w:val="61"/>
              <w:spacing w:line="240" w:lineRule="auto"/>
              <w:rPr>
                <w:rFonts w:eastAsia="宋体" w:cs="Times New Roman"/>
                <w:color w:val="auto"/>
              </w:rPr>
            </w:pPr>
            <w:r>
              <w:rPr>
                <w:rFonts w:eastAsia="宋体" w:cs="Times New Roman"/>
                <w:color w:val="auto"/>
              </w:rPr>
              <w:t>光污染</w:t>
            </w:r>
          </w:p>
        </w:tc>
        <w:tc>
          <w:tcPr>
            <w:tcW w:w="6301" w:type="dxa"/>
            <w:noWrap w:val="0"/>
            <w:vAlign w:val="center"/>
          </w:tcPr>
          <w:p w14:paraId="7D421B44">
            <w:pPr>
              <w:pStyle w:val="61"/>
              <w:spacing w:line="240" w:lineRule="auto"/>
              <w:jc w:val="left"/>
              <w:rPr>
                <w:rFonts w:eastAsia="宋体" w:cs="Times New Roman"/>
                <w:color w:val="auto"/>
              </w:rPr>
            </w:pPr>
            <w:r>
              <w:rPr>
                <w:rFonts w:eastAsia="宋体" w:cs="Times New Roman"/>
                <w:color w:val="auto"/>
              </w:rPr>
              <w:t>电焊多，产生光污染。</w:t>
            </w:r>
          </w:p>
        </w:tc>
      </w:tr>
    </w:tbl>
    <w:p w14:paraId="5C0CCC09">
      <w:pPr>
        <w:pStyle w:val="8"/>
        <w:rPr>
          <w:rFonts w:hint="eastAsia"/>
          <w:color w:val="auto"/>
        </w:rPr>
      </w:pPr>
      <w:r>
        <w:rPr>
          <w:rFonts w:hint="eastAsia"/>
          <w:color w:val="auto"/>
        </w:rPr>
        <w:t>管理流程</w:t>
      </w:r>
    </w:p>
    <w:p w14:paraId="49078B0A">
      <w:pPr>
        <w:ind w:firstLine="480"/>
        <w:rPr>
          <w:rFonts w:ascii="宋体" w:hAnsi="宋体"/>
          <w:color w:val="auto"/>
        </w:rPr>
      </w:pPr>
      <w:r>
        <w:rPr>
          <w:rFonts w:hint="eastAsia" w:ascii="宋体" w:hAnsi="宋体"/>
          <w:color w:val="auto"/>
        </w:rPr>
        <w:t>环境保护是绿色施工要点中的重点，源头控制污染固然重要，过程监控减低污染也同样重要，将根据评价出的重要环境因素，采取措施将其对环境的影响降到最小。</w:t>
      </w:r>
    </w:p>
    <w:p w14:paraId="09951423">
      <w:pPr>
        <w:ind w:firstLine="480"/>
        <w:rPr>
          <w:rFonts w:ascii="宋体" w:hAnsi="宋体"/>
          <w:color w:val="auto"/>
        </w:rPr>
      </w:pPr>
      <w:r>
        <w:rPr>
          <w:rFonts w:hint="eastAsia" w:ascii="宋体" w:hAnsi="宋体"/>
          <w:color w:val="auto"/>
        </w:rPr>
        <w:t>在环境保护管理实施期，应先制定环境保护组织管理流程，采用PDCA循环动态控制的原理。对影响环境的因素进行辨识，确定可能发生的因素后，制定措施计划并论证计划的可行性后，开始实施。实施过程中，进行跟踪检查，发现问题及时纠偏。</w:t>
      </w:r>
    </w:p>
    <w:p w14:paraId="0220F5DD">
      <w:pPr>
        <w:pStyle w:val="64"/>
        <w:spacing w:before="163" w:after="163"/>
        <w:rPr>
          <w:color w:val="auto"/>
        </w:rPr>
      </w:pPr>
      <w:r>
        <w:rPr>
          <w:color w:val="auto"/>
        </w:rPr>
        <w:drawing>
          <wp:inline distT="0" distB="0" distL="114300" distR="114300">
            <wp:extent cx="3084195" cy="2959100"/>
            <wp:effectExtent l="0" t="0" r="1905" b="0"/>
            <wp:docPr id="40" name="图片 528" descr="Sna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28" descr="Snap4"/>
                    <pic:cNvPicPr>
                      <a:picLocks noChangeAspect="1"/>
                    </pic:cNvPicPr>
                  </pic:nvPicPr>
                  <pic:blipFill>
                    <a:blip r:embed="rId64"/>
                    <a:stretch>
                      <a:fillRect/>
                    </a:stretch>
                  </pic:blipFill>
                  <pic:spPr>
                    <a:xfrm>
                      <a:off x="0" y="0"/>
                      <a:ext cx="3084195" cy="2959100"/>
                    </a:xfrm>
                    <a:prstGeom prst="rect">
                      <a:avLst/>
                    </a:prstGeom>
                    <a:noFill/>
                    <a:ln>
                      <a:noFill/>
                    </a:ln>
                  </pic:spPr>
                </pic:pic>
              </a:graphicData>
            </a:graphic>
          </wp:inline>
        </w:drawing>
      </w:r>
    </w:p>
    <w:p w14:paraId="04DBA9F6">
      <w:pPr>
        <w:pStyle w:val="63"/>
        <w:rPr>
          <w:color w:val="auto"/>
        </w:rPr>
      </w:pPr>
      <w:r>
        <w:rPr>
          <w:rFonts w:hint="eastAsia"/>
          <w:color w:val="auto"/>
        </w:rPr>
        <w:t>环境保护管理流程</w:t>
      </w:r>
    </w:p>
    <w:p w14:paraId="234D2767">
      <w:pPr>
        <w:pStyle w:val="8"/>
        <w:rPr>
          <w:rFonts w:hint="default" w:eastAsia="宋体"/>
          <w:color w:val="auto"/>
          <w:lang w:val="en-US" w:eastAsia="zh-CN"/>
        </w:rPr>
      </w:pPr>
      <w:r>
        <w:rPr>
          <w:rFonts w:hint="eastAsia"/>
          <w:color w:val="auto"/>
          <w:lang w:val="en-US" w:eastAsia="zh-CN"/>
        </w:rPr>
        <w:t>环境保护一般要求</w:t>
      </w:r>
    </w:p>
    <w:p w14:paraId="6C8C47DF">
      <w:pPr>
        <w:rPr>
          <w:rFonts w:hint="default"/>
          <w:color w:val="auto"/>
          <w:lang w:val="en-US" w:eastAsia="zh-CN"/>
        </w:rPr>
      </w:pPr>
      <w:r>
        <w:rPr>
          <w:rFonts w:hint="default"/>
          <w:color w:val="auto"/>
          <w:lang w:val="en-US" w:eastAsia="zh-CN"/>
        </w:rPr>
        <w:t>1、控制项</w:t>
      </w:r>
    </w:p>
    <w:p w14:paraId="606177DB">
      <w:pPr>
        <w:rPr>
          <w:rFonts w:hint="default"/>
          <w:color w:val="auto"/>
          <w:lang w:val="en-US" w:eastAsia="zh-CN"/>
        </w:rPr>
      </w:pPr>
      <w:r>
        <w:rPr>
          <w:rFonts w:hint="default"/>
          <w:color w:val="auto"/>
          <w:lang w:val="en-US" w:eastAsia="zh-CN"/>
        </w:rPr>
        <w:t>（1）现场施工标牌应包括环境保护内容</w:t>
      </w:r>
    </w:p>
    <w:p w14:paraId="4FE46863">
      <w:pPr>
        <w:rPr>
          <w:rFonts w:hint="default"/>
          <w:color w:val="auto"/>
          <w:lang w:val="en-US" w:eastAsia="zh-CN"/>
        </w:rPr>
      </w:pPr>
      <w:r>
        <w:rPr>
          <w:rFonts w:hint="default"/>
          <w:color w:val="auto"/>
          <w:lang w:val="en-US" w:eastAsia="zh-CN"/>
        </w:rPr>
        <w:t>现场十牌二图中应包含环保标牌，其中包含绿色施工目标、绿色施工体系、组织结构、职责划分及绿色施工制度等内容。</w:t>
      </w:r>
    </w:p>
    <w:p w14:paraId="3C17370E">
      <w:pPr>
        <w:rPr>
          <w:rFonts w:hint="default"/>
          <w:color w:val="auto"/>
          <w:lang w:val="en-US" w:eastAsia="zh-CN"/>
        </w:rPr>
      </w:pPr>
      <w:r>
        <w:rPr>
          <w:rFonts w:hint="default"/>
          <w:color w:val="auto"/>
          <w:lang w:val="en-US" w:eastAsia="zh-CN"/>
        </w:rPr>
        <w:t>（2）施工现场应在醒目位置设环境保护标识</w:t>
      </w:r>
    </w:p>
    <w:p w14:paraId="7FAE5DA6">
      <w:pPr>
        <w:rPr>
          <w:rFonts w:hint="default"/>
          <w:color w:val="auto"/>
          <w:lang w:val="en-US" w:eastAsia="zh-CN"/>
        </w:rPr>
      </w:pPr>
      <w:r>
        <w:rPr>
          <w:rFonts w:hint="default"/>
          <w:color w:val="auto"/>
          <w:lang w:val="en-US" w:eastAsia="zh-CN"/>
        </w:rPr>
        <w:tab/>
      </w:r>
      <w:r>
        <w:rPr>
          <w:rFonts w:hint="default"/>
          <w:color w:val="auto"/>
          <w:lang w:val="en-US" w:eastAsia="zh-CN"/>
        </w:rPr>
        <w:t>在现场钢筋车间、木工车间、临时施工道路、休息室、垃圾桶、洗车池等位置挂设环境保护标识。</w:t>
      </w:r>
    </w:p>
    <w:p w14:paraId="2B2C4E1A">
      <w:pPr>
        <w:rPr>
          <w:rFonts w:hint="default"/>
          <w:color w:val="auto"/>
          <w:lang w:val="en-US" w:eastAsia="zh-CN"/>
        </w:rPr>
      </w:pPr>
      <w:r>
        <w:rPr>
          <w:rFonts w:hint="default"/>
          <w:color w:val="auto"/>
          <w:lang w:val="en-US" w:eastAsia="zh-CN"/>
        </w:rPr>
        <w:t>（3）现场食堂应有卫生许可证，炊事员应持有效健康证明</w:t>
      </w:r>
    </w:p>
    <w:p w14:paraId="156ADAC2">
      <w:pPr>
        <w:rPr>
          <w:rFonts w:hint="default"/>
          <w:color w:val="auto"/>
          <w:lang w:val="en-US" w:eastAsia="zh-CN"/>
        </w:rPr>
      </w:pPr>
      <w:r>
        <w:rPr>
          <w:rFonts w:hint="default"/>
          <w:color w:val="auto"/>
          <w:lang w:val="en-US" w:eastAsia="zh-CN"/>
        </w:rPr>
        <w:t>措施</w:t>
      </w:r>
      <w:r>
        <w:rPr>
          <w:rFonts w:hint="default"/>
          <w:color w:val="auto"/>
          <w:lang w:val="en-US" w:eastAsia="zh-CN"/>
        </w:rPr>
        <w:tab/>
      </w:r>
      <w:r>
        <w:rPr>
          <w:rFonts w:hint="default"/>
          <w:color w:val="auto"/>
          <w:lang w:val="en-US" w:eastAsia="zh-CN"/>
        </w:rPr>
        <w:t>现场食堂内醒目位置挂设卫生许可证和炊事员有效健康证（每年复检1次）。</w:t>
      </w:r>
    </w:p>
    <w:p w14:paraId="2C1BB4FE">
      <w:pPr>
        <w:rPr>
          <w:rFonts w:hint="default"/>
          <w:color w:val="auto"/>
          <w:lang w:val="en-US" w:eastAsia="zh-CN"/>
        </w:rPr>
      </w:pPr>
      <w:r>
        <w:rPr>
          <w:rFonts w:hint="default"/>
          <w:color w:val="auto"/>
          <w:lang w:val="en-US" w:eastAsia="zh-CN"/>
        </w:rPr>
        <w:t>2、一般项</w:t>
      </w:r>
    </w:p>
    <w:p w14:paraId="6D0A4DA6">
      <w:pPr>
        <w:rPr>
          <w:rFonts w:hint="default"/>
          <w:color w:val="auto"/>
          <w:lang w:val="en-US" w:eastAsia="zh-CN"/>
        </w:rPr>
      </w:pPr>
      <w:r>
        <w:rPr>
          <w:rFonts w:hint="default"/>
          <w:color w:val="auto"/>
          <w:lang w:val="en-US" w:eastAsia="zh-CN"/>
        </w:rPr>
        <w:t>（1）资源保护</w:t>
      </w:r>
    </w:p>
    <w:p w14:paraId="71B04709">
      <w:pPr>
        <w:rPr>
          <w:rFonts w:hint="default"/>
          <w:color w:val="auto"/>
          <w:lang w:val="en-US" w:eastAsia="zh-CN"/>
        </w:rPr>
      </w:pPr>
      <w:r>
        <w:rPr>
          <w:rFonts w:hint="default"/>
          <w:color w:val="auto"/>
          <w:lang w:val="en-US" w:eastAsia="zh-CN"/>
        </w:rPr>
        <w:t>①应保护场地四周原有地下水形态，减少抽取地下水</w:t>
      </w:r>
    </w:p>
    <w:p w14:paraId="1E0348CD">
      <w:pPr>
        <w:rPr>
          <w:rFonts w:hint="default"/>
          <w:color w:val="auto"/>
          <w:lang w:val="en-US" w:eastAsia="zh-CN"/>
        </w:rPr>
      </w:pPr>
      <w:r>
        <w:rPr>
          <w:rFonts w:hint="default"/>
          <w:color w:val="auto"/>
          <w:lang w:val="en-US" w:eastAsia="zh-CN"/>
        </w:rPr>
        <w:t>设集水坑、排水沟等措施进行降水和排水，并将水净化用作洗车、防止扬尘等作用。</w:t>
      </w:r>
    </w:p>
    <w:p w14:paraId="2F263C40">
      <w:pPr>
        <w:rPr>
          <w:rFonts w:hint="default"/>
          <w:color w:val="auto"/>
          <w:lang w:val="en-US" w:eastAsia="zh-CN"/>
        </w:rPr>
      </w:pPr>
      <w:r>
        <w:rPr>
          <w:rFonts w:hint="default"/>
          <w:color w:val="auto"/>
          <w:lang w:val="en-US" w:eastAsia="zh-CN"/>
        </w:rPr>
        <w:t>②危险品、化学品存放处及污物排放应采取隔离措施</w:t>
      </w:r>
    </w:p>
    <w:p w14:paraId="7552C5F5">
      <w:pPr>
        <w:rPr>
          <w:rFonts w:hint="default"/>
          <w:color w:val="auto"/>
          <w:lang w:val="en-US" w:eastAsia="zh-CN"/>
        </w:rPr>
      </w:pPr>
      <w:r>
        <w:rPr>
          <w:rFonts w:hint="default"/>
          <w:color w:val="auto"/>
          <w:lang w:val="en-US" w:eastAsia="zh-CN"/>
        </w:rPr>
        <w:t>a化学品、重金属污染品、污物存放处地面采取C20硬化处理，采用砖砌或者彩钢板隔离，并且远离办公区域25米以上。</w:t>
      </w:r>
    </w:p>
    <w:p w14:paraId="5A9F2EFD">
      <w:pPr>
        <w:rPr>
          <w:rFonts w:hint="default"/>
          <w:color w:val="auto"/>
          <w:lang w:val="en-US" w:eastAsia="zh-CN"/>
        </w:rPr>
      </w:pPr>
      <w:r>
        <w:rPr>
          <w:rFonts w:hint="default"/>
          <w:color w:val="auto"/>
          <w:lang w:val="en-US" w:eastAsia="zh-CN"/>
        </w:rPr>
        <w:t>b有毒有害物如电池、墨盒、油漆、涂料等需密封保存，并贴上标识，使用完后及时回收并交付有资质的单位处理，不能作为建筑垃圾外运，避免污染土壤和地下水。</w:t>
      </w:r>
    </w:p>
    <w:p w14:paraId="443CEAEB">
      <w:pPr>
        <w:rPr>
          <w:rFonts w:hint="default"/>
          <w:color w:val="auto"/>
          <w:lang w:val="en-US" w:eastAsia="zh-CN"/>
        </w:rPr>
      </w:pPr>
      <w:r>
        <w:rPr>
          <w:rFonts w:hint="default"/>
          <w:color w:val="auto"/>
          <w:lang w:val="en-US" w:eastAsia="zh-CN"/>
        </w:rPr>
        <w:t>（2）人员健康</w:t>
      </w:r>
    </w:p>
    <w:p w14:paraId="316A155D">
      <w:pPr>
        <w:rPr>
          <w:rFonts w:hint="default"/>
          <w:color w:val="auto"/>
          <w:lang w:val="en-US" w:eastAsia="zh-CN"/>
        </w:rPr>
      </w:pPr>
      <w:r>
        <w:rPr>
          <w:rFonts w:hint="default"/>
          <w:color w:val="auto"/>
          <w:lang w:val="en-US" w:eastAsia="zh-CN"/>
        </w:rPr>
        <w:t>①施工作业区和生活办公区应分开布置，生活设施应远离有毒有害物质</w:t>
      </w:r>
    </w:p>
    <w:p w14:paraId="011D7EEE">
      <w:pPr>
        <w:rPr>
          <w:rFonts w:hint="default"/>
          <w:color w:val="auto"/>
          <w:lang w:val="en-US" w:eastAsia="zh-CN"/>
        </w:rPr>
      </w:pPr>
      <w:r>
        <w:rPr>
          <w:rFonts w:hint="default"/>
          <w:color w:val="auto"/>
          <w:lang w:val="en-US" w:eastAsia="zh-CN"/>
        </w:rPr>
        <w:t>a施工作业区与生活办公区分开布置，并设置导向牌；采用围挡将施工作业区与生活办公区隔离开。</w:t>
      </w:r>
    </w:p>
    <w:p w14:paraId="368D342C">
      <w:pPr>
        <w:rPr>
          <w:rFonts w:hint="default"/>
          <w:color w:val="auto"/>
          <w:lang w:val="en-US" w:eastAsia="zh-CN"/>
        </w:rPr>
      </w:pPr>
      <w:r>
        <w:rPr>
          <w:rFonts w:hint="default"/>
          <w:color w:val="auto"/>
          <w:lang w:val="en-US" w:eastAsia="zh-CN"/>
        </w:rPr>
        <w:t>b对有毒有害物质进行识别，并对有毒有害物质归类存放，贴上标签，生活设施不得与有毒有害物质混放。</w:t>
      </w:r>
    </w:p>
    <w:p w14:paraId="4C305C6F">
      <w:pPr>
        <w:rPr>
          <w:rFonts w:hint="default"/>
          <w:color w:val="auto"/>
          <w:lang w:val="en-US" w:eastAsia="zh-CN"/>
        </w:rPr>
      </w:pPr>
      <w:r>
        <w:rPr>
          <w:rFonts w:hint="default"/>
          <w:color w:val="auto"/>
          <w:lang w:val="en-US" w:eastAsia="zh-CN"/>
        </w:rPr>
        <w:t>②生活区应有专人负责，应有消暑或保暖措施</w:t>
      </w:r>
    </w:p>
    <w:p w14:paraId="3132CE36">
      <w:pPr>
        <w:rPr>
          <w:rFonts w:hint="default"/>
          <w:color w:val="auto"/>
          <w:lang w:val="en-US" w:eastAsia="zh-CN"/>
        </w:rPr>
      </w:pPr>
      <w:r>
        <w:rPr>
          <w:rFonts w:hint="default"/>
          <w:color w:val="auto"/>
          <w:lang w:val="en-US" w:eastAsia="zh-CN"/>
        </w:rPr>
        <w:t>a制定生活区卫生管理制度，并安排专职人员负责，定期对生活区环境卫生进行检查，并下发整改通知单；</w:t>
      </w:r>
    </w:p>
    <w:p w14:paraId="743D9BF7">
      <w:pPr>
        <w:rPr>
          <w:rFonts w:hint="default"/>
          <w:color w:val="auto"/>
          <w:lang w:val="en-US" w:eastAsia="zh-CN"/>
        </w:rPr>
      </w:pPr>
      <w:r>
        <w:rPr>
          <w:rFonts w:hint="default"/>
          <w:color w:val="auto"/>
          <w:lang w:val="en-US" w:eastAsia="zh-CN"/>
        </w:rPr>
        <w:t>b生活区设置锅炉，提供生活用热水；</w:t>
      </w:r>
    </w:p>
    <w:p w14:paraId="51F497E3">
      <w:pPr>
        <w:rPr>
          <w:rFonts w:hint="default"/>
          <w:color w:val="auto"/>
          <w:lang w:val="en-US" w:eastAsia="zh-CN"/>
        </w:rPr>
      </w:pPr>
      <w:r>
        <w:rPr>
          <w:rFonts w:hint="default"/>
          <w:color w:val="auto"/>
          <w:lang w:val="en-US" w:eastAsia="zh-CN"/>
        </w:rPr>
        <w:t>c宿舍内安装节能空调消暑、保暖，严寒地区还可以配置电油汀、取暖片等设备；</w:t>
      </w:r>
    </w:p>
    <w:p w14:paraId="199671EF">
      <w:pPr>
        <w:rPr>
          <w:rFonts w:hint="default"/>
          <w:color w:val="auto"/>
          <w:lang w:val="en-US" w:eastAsia="zh-CN"/>
        </w:rPr>
      </w:pPr>
      <w:r>
        <w:rPr>
          <w:rFonts w:hint="default"/>
          <w:color w:val="auto"/>
          <w:lang w:val="en-US" w:eastAsia="zh-CN"/>
        </w:rPr>
        <w:t>d生活区每间宿舍发放消暑物品：藿香正气水、清凉油、风油精等；</w:t>
      </w:r>
    </w:p>
    <w:p w14:paraId="4B8D8810">
      <w:pPr>
        <w:rPr>
          <w:rFonts w:hint="default"/>
          <w:color w:val="auto"/>
          <w:lang w:val="en-US" w:eastAsia="zh-CN"/>
        </w:rPr>
      </w:pPr>
      <w:r>
        <w:rPr>
          <w:rFonts w:hint="default"/>
          <w:color w:val="auto"/>
          <w:lang w:val="en-US" w:eastAsia="zh-CN"/>
        </w:rPr>
        <w:t>e生活区板房内加设岩棉保温板。</w:t>
      </w:r>
    </w:p>
    <w:p w14:paraId="28D41615">
      <w:pPr>
        <w:rPr>
          <w:rFonts w:hint="default"/>
          <w:color w:val="auto"/>
          <w:lang w:val="en-US" w:eastAsia="zh-CN"/>
        </w:rPr>
      </w:pPr>
      <w:r>
        <w:rPr>
          <w:rFonts w:hint="default"/>
          <w:color w:val="auto"/>
          <w:lang w:val="en-US" w:eastAsia="zh-CN"/>
        </w:rPr>
        <w:t>③现场工人劳动强度和工作时间应符合现行国家标准“体力劳动强度分级”GB3869的有关规定</w:t>
      </w:r>
    </w:p>
    <w:p w14:paraId="7EF24332">
      <w:pPr>
        <w:rPr>
          <w:rFonts w:hint="default"/>
          <w:color w:val="auto"/>
          <w:lang w:val="en-US" w:eastAsia="zh-CN"/>
        </w:rPr>
      </w:pPr>
      <w:r>
        <w:rPr>
          <w:rFonts w:hint="default"/>
          <w:color w:val="auto"/>
          <w:lang w:val="en-US" w:eastAsia="zh-CN"/>
        </w:rPr>
        <w:t>规定工人作息时间，上午：7:30~11:30，下午：13:30~17:30。</w:t>
      </w:r>
    </w:p>
    <w:p w14:paraId="064ED6A9">
      <w:pPr>
        <w:rPr>
          <w:rFonts w:hint="default"/>
          <w:color w:val="auto"/>
          <w:lang w:val="en-US" w:eastAsia="zh-CN"/>
        </w:rPr>
      </w:pPr>
      <w:r>
        <w:rPr>
          <w:rFonts w:hint="default"/>
          <w:color w:val="auto"/>
          <w:lang w:val="en-US" w:eastAsia="zh-CN"/>
        </w:rPr>
        <w:t>④从事有毒、有害、有刺激性气味和强光、强噪声施工的人员应佩戴与其相应的防护器具</w:t>
      </w:r>
    </w:p>
    <w:p w14:paraId="27B79579">
      <w:pPr>
        <w:rPr>
          <w:rFonts w:hint="default"/>
          <w:color w:val="auto"/>
          <w:lang w:val="en-US" w:eastAsia="zh-CN"/>
        </w:rPr>
      </w:pPr>
      <w:r>
        <w:rPr>
          <w:rFonts w:hint="default"/>
          <w:color w:val="auto"/>
          <w:lang w:val="en-US" w:eastAsia="zh-CN"/>
        </w:rPr>
        <w:t>a从事电焊作业的人员，应佩戴电焊防护面罩；</w:t>
      </w:r>
    </w:p>
    <w:p w14:paraId="7D587BE6">
      <w:pPr>
        <w:rPr>
          <w:rFonts w:hint="default"/>
          <w:color w:val="auto"/>
          <w:lang w:val="en-US" w:eastAsia="zh-CN"/>
        </w:rPr>
      </w:pPr>
      <w:r>
        <w:rPr>
          <w:rFonts w:hint="default"/>
          <w:color w:val="auto"/>
          <w:lang w:val="en-US" w:eastAsia="zh-CN"/>
        </w:rPr>
        <w:t>b从事消毒、刺激性气味的人员应佩戴消毒面罩。</w:t>
      </w:r>
    </w:p>
    <w:p w14:paraId="60BA3F57">
      <w:pPr>
        <w:rPr>
          <w:rFonts w:hint="default"/>
          <w:color w:val="auto"/>
          <w:lang w:val="en-US" w:eastAsia="zh-CN"/>
        </w:rPr>
      </w:pPr>
      <w:r>
        <w:rPr>
          <w:rFonts w:hint="default"/>
          <w:color w:val="auto"/>
          <w:lang w:val="en-US" w:eastAsia="zh-CN"/>
        </w:rPr>
        <w:t>⑤深井、密闭环境、防水和室内装修施工应有自然通风或临时通风设施</w:t>
      </w:r>
    </w:p>
    <w:p w14:paraId="4A45C354">
      <w:pPr>
        <w:rPr>
          <w:rFonts w:hint="default"/>
          <w:color w:val="auto"/>
          <w:lang w:val="en-US" w:eastAsia="zh-CN"/>
        </w:rPr>
      </w:pPr>
      <w:r>
        <w:rPr>
          <w:rFonts w:hint="default"/>
          <w:color w:val="auto"/>
          <w:lang w:val="en-US" w:eastAsia="zh-CN"/>
        </w:rPr>
        <w:t>本工程地下施工面积大，室内装饰装修阶段，可通过上下贯通的预留孔进行通风，同时辅助设计大风扇，确保空气流通。</w:t>
      </w:r>
    </w:p>
    <w:p w14:paraId="1F108721">
      <w:pPr>
        <w:rPr>
          <w:rFonts w:hint="default"/>
          <w:color w:val="auto"/>
          <w:lang w:val="en-US" w:eastAsia="zh-CN"/>
        </w:rPr>
      </w:pPr>
      <w:r>
        <w:rPr>
          <w:rFonts w:hint="default"/>
          <w:color w:val="auto"/>
          <w:lang w:val="en-US" w:eastAsia="zh-CN"/>
        </w:rPr>
        <w:t>⑥现场危险设备、地段、有毒物品存放地应配置醒目安全标志，施工应采取有效防毒、防污、防尘、防潮、通风等措施，应加强人员健康管理。</w:t>
      </w:r>
    </w:p>
    <w:p w14:paraId="34E61CC0">
      <w:pPr>
        <w:rPr>
          <w:rFonts w:hint="default"/>
          <w:color w:val="auto"/>
          <w:lang w:val="en-US" w:eastAsia="zh-CN"/>
        </w:rPr>
      </w:pPr>
      <w:r>
        <w:rPr>
          <w:rFonts w:hint="default"/>
          <w:color w:val="auto"/>
          <w:lang w:val="en-US" w:eastAsia="zh-CN"/>
        </w:rPr>
        <w:t>⑦厕所、卫生设施、排水沟及阴暗潮湿地带应定期消毒</w:t>
      </w:r>
    </w:p>
    <w:p w14:paraId="4B839444">
      <w:pPr>
        <w:rPr>
          <w:rFonts w:hint="default"/>
          <w:color w:val="auto"/>
          <w:lang w:val="en-US" w:eastAsia="zh-CN"/>
        </w:rPr>
      </w:pPr>
      <w:r>
        <w:rPr>
          <w:rFonts w:hint="default"/>
          <w:color w:val="auto"/>
          <w:lang w:val="en-US" w:eastAsia="zh-CN"/>
        </w:rPr>
        <w:t>a根据平面布置进行厕所、卫生设施、排水沟的整体部署，经沉淀或净化后，排入市政管网或加以利用；</w:t>
      </w:r>
    </w:p>
    <w:p w14:paraId="66799449">
      <w:pPr>
        <w:rPr>
          <w:rFonts w:hint="default"/>
          <w:color w:val="auto"/>
          <w:lang w:val="en-US" w:eastAsia="zh-CN"/>
        </w:rPr>
      </w:pPr>
      <w:r>
        <w:rPr>
          <w:rFonts w:hint="default"/>
          <w:color w:val="auto"/>
          <w:lang w:val="en-US" w:eastAsia="zh-CN"/>
        </w:rPr>
        <w:t>b安排专人每天对厕所、排水沟等进行消毒清理，人员消毒工作时应佩戴防毒面罩。</w:t>
      </w:r>
    </w:p>
    <w:p w14:paraId="57719F79">
      <w:pPr>
        <w:rPr>
          <w:rFonts w:hint="default"/>
          <w:color w:val="auto"/>
          <w:lang w:val="en-US" w:eastAsia="zh-CN"/>
        </w:rPr>
      </w:pPr>
      <w:r>
        <w:rPr>
          <w:rFonts w:hint="default"/>
          <w:color w:val="auto"/>
          <w:lang w:val="en-US" w:eastAsia="zh-CN"/>
        </w:rPr>
        <w:t>⑧食堂各类器具应清洁，个人卫生、操作行为应规范</w:t>
      </w:r>
    </w:p>
    <w:p w14:paraId="585FA120">
      <w:pPr>
        <w:rPr>
          <w:rFonts w:hint="default"/>
          <w:color w:val="auto"/>
          <w:lang w:val="en-US" w:eastAsia="zh-CN"/>
        </w:rPr>
      </w:pPr>
      <w:r>
        <w:rPr>
          <w:rFonts w:hint="default"/>
          <w:color w:val="auto"/>
          <w:lang w:val="en-US" w:eastAsia="zh-CN"/>
        </w:rPr>
        <w:t>a制定食堂卫生管理制度，配置充足的洗洁精等物品，餐前、餐后清洗各类器具，定期由后勤管理人员检查；</w:t>
      </w:r>
    </w:p>
    <w:p w14:paraId="49C3FE46">
      <w:pPr>
        <w:rPr>
          <w:rFonts w:hint="default"/>
          <w:color w:val="auto"/>
          <w:lang w:val="en-US" w:eastAsia="zh-CN"/>
        </w:rPr>
      </w:pPr>
      <w:r>
        <w:rPr>
          <w:rFonts w:hint="default"/>
          <w:color w:val="auto"/>
          <w:lang w:val="en-US" w:eastAsia="zh-CN"/>
        </w:rPr>
        <w:t>b装修食堂所用建筑材料必须符合环保、消防要求。食堂必须设置独立的制作间、库房和燃气罐存放间，必须设置隔油池，应配备必要的排风设施和消毒设施；必须设置密闭式泔水桶；</w:t>
      </w:r>
    </w:p>
    <w:p w14:paraId="005C1AAC">
      <w:pPr>
        <w:rPr>
          <w:rFonts w:hint="default"/>
          <w:color w:val="auto"/>
          <w:lang w:val="en-US" w:eastAsia="zh-CN"/>
        </w:rPr>
      </w:pPr>
      <w:r>
        <w:rPr>
          <w:rFonts w:hint="default"/>
          <w:color w:val="auto"/>
          <w:lang w:val="en-US" w:eastAsia="zh-CN"/>
        </w:rPr>
        <w:t>c制作间灶台及其周边应贴瓷砖，地面硬化，保持墙面、地面干净，下水管线应与污水管线连接，保证排水通畅。</w:t>
      </w:r>
    </w:p>
    <w:p w14:paraId="48BAC98C">
      <w:pPr>
        <w:rPr>
          <w:rFonts w:hint="default"/>
          <w:color w:val="auto"/>
          <w:lang w:val="en-US" w:eastAsia="zh-CN"/>
        </w:rPr>
      </w:pPr>
      <w:r>
        <w:rPr>
          <w:rFonts w:hint="default"/>
          <w:color w:val="auto"/>
          <w:lang w:val="en-US" w:eastAsia="zh-CN"/>
        </w:rPr>
        <w:t>（3）扬尘控制</w:t>
      </w:r>
    </w:p>
    <w:p w14:paraId="0B36D821">
      <w:pPr>
        <w:rPr>
          <w:rFonts w:hint="default"/>
          <w:color w:val="auto"/>
          <w:lang w:val="en-US" w:eastAsia="zh-CN"/>
        </w:rPr>
      </w:pPr>
      <w:r>
        <w:rPr>
          <w:rFonts w:hint="default"/>
          <w:color w:val="auto"/>
          <w:lang w:val="en-US" w:eastAsia="zh-CN"/>
        </w:rPr>
        <w:tab/>
      </w:r>
      <w:r>
        <w:rPr>
          <w:rFonts w:hint="default"/>
          <w:color w:val="auto"/>
          <w:lang w:val="en-US" w:eastAsia="zh-CN"/>
        </w:rPr>
        <w:t>①现场应建立洒水清扫制度，配备洒水设备，并应有专人负责</w:t>
      </w:r>
    </w:p>
    <w:p w14:paraId="7E37B238">
      <w:pPr>
        <w:rPr>
          <w:rFonts w:hint="default"/>
          <w:color w:val="auto"/>
          <w:lang w:val="en-US" w:eastAsia="zh-CN"/>
        </w:rPr>
      </w:pPr>
      <w:r>
        <w:rPr>
          <w:rFonts w:hint="default"/>
          <w:color w:val="auto"/>
          <w:lang w:val="en-US" w:eastAsia="zh-CN"/>
        </w:rPr>
        <w:t>a建立洒水清扫制度，安排专人每天早、中、晚对现场洒水降尘；</w:t>
      </w:r>
    </w:p>
    <w:p w14:paraId="600726B5">
      <w:pPr>
        <w:rPr>
          <w:rFonts w:hint="default"/>
          <w:color w:val="auto"/>
          <w:lang w:val="en-US" w:eastAsia="zh-CN"/>
        </w:rPr>
      </w:pPr>
      <w:r>
        <w:rPr>
          <w:rFonts w:hint="default"/>
          <w:color w:val="auto"/>
          <w:lang w:val="en-US" w:eastAsia="zh-CN"/>
        </w:rPr>
        <w:t>b现场利用废弃材料自制便利洒水车；</w:t>
      </w:r>
    </w:p>
    <w:p w14:paraId="6DEA79A6">
      <w:pPr>
        <w:rPr>
          <w:rFonts w:hint="default"/>
          <w:color w:val="auto"/>
          <w:lang w:val="en-US" w:eastAsia="zh-CN"/>
        </w:rPr>
      </w:pPr>
      <w:r>
        <w:rPr>
          <w:rFonts w:hint="default"/>
          <w:color w:val="auto"/>
          <w:lang w:val="en-US" w:eastAsia="zh-CN"/>
        </w:rPr>
        <w:t>c在道路周围布设喷雾设备进行道路洒水及除尘。</w:t>
      </w:r>
    </w:p>
    <w:p w14:paraId="48B6AE9C">
      <w:pPr>
        <w:rPr>
          <w:rFonts w:hint="default"/>
          <w:color w:val="auto"/>
          <w:lang w:val="en-US" w:eastAsia="zh-CN"/>
        </w:rPr>
      </w:pPr>
      <w:r>
        <w:rPr>
          <w:rFonts w:hint="default"/>
          <w:color w:val="auto"/>
          <w:lang w:val="en-US" w:eastAsia="zh-CN"/>
        </w:rPr>
        <w:t>②对裸露地面、集中堆放的土方应采取抑尘措施</w:t>
      </w:r>
    </w:p>
    <w:p w14:paraId="37BF56AD">
      <w:pPr>
        <w:rPr>
          <w:rFonts w:hint="default"/>
          <w:color w:val="auto"/>
          <w:lang w:val="en-US" w:eastAsia="zh-CN"/>
        </w:rPr>
      </w:pPr>
      <w:r>
        <w:rPr>
          <w:rFonts w:hint="default"/>
          <w:color w:val="auto"/>
          <w:lang w:val="en-US" w:eastAsia="zh-CN"/>
        </w:rPr>
        <w:t>a对裸露地面进行硬化、覆盖碎石、覆盖密目网；</w:t>
      </w:r>
    </w:p>
    <w:p w14:paraId="74CF36E4">
      <w:pPr>
        <w:rPr>
          <w:rFonts w:hint="default"/>
          <w:color w:val="auto"/>
          <w:lang w:val="en-US" w:eastAsia="zh-CN"/>
        </w:rPr>
      </w:pPr>
      <w:r>
        <w:rPr>
          <w:rFonts w:hint="default"/>
          <w:color w:val="auto"/>
          <w:lang w:val="en-US" w:eastAsia="zh-CN"/>
        </w:rPr>
        <w:t>b现场集中堆放的土方，应先初步压实，然后采用塑料布覆盖。</w:t>
      </w:r>
    </w:p>
    <w:p w14:paraId="4D4FB896">
      <w:pPr>
        <w:rPr>
          <w:rFonts w:hint="default"/>
          <w:color w:val="auto"/>
          <w:lang w:val="en-US" w:eastAsia="zh-CN"/>
        </w:rPr>
      </w:pPr>
      <w:r>
        <w:rPr>
          <w:rFonts w:hint="default"/>
          <w:color w:val="auto"/>
          <w:lang w:val="en-US" w:eastAsia="zh-CN"/>
        </w:rPr>
        <w:t>③运送土方、渣土等易产生扬尘的车辆应采取封闭或遮盖措施</w:t>
      </w:r>
    </w:p>
    <w:p w14:paraId="76EB0218">
      <w:pPr>
        <w:rPr>
          <w:rFonts w:hint="default"/>
          <w:color w:val="auto"/>
          <w:lang w:val="en-US" w:eastAsia="zh-CN"/>
        </w:rPr>
      </w:pPr>
      <w:r>
        <w:rPr>
          <w:rFonts w:hint="default"/>
          <w:color w:val="auto"/>
          <w:lang w:val="en-US" w:eastAsia="zh-CN"/>
        </w:rPr>
        <w:t>a选择有渣土准运证的单位进行合作；</w:t>
      </w:r>
    </w:p>
    <w:p w14:paraId="6A472811">
      <w:pPr>
        <w:rPr>
          <w:rFonts w:hint="default"/>
          <w:color w:val="auto"/>
          <w:lang w:val="en-US" w:eastAsia="zh-CN"/>
        </w:rPr>
      </w:pPr>
      <w:r>
        <w:rPr>
          <w:rFonts w:hint="default"/>
          <w:color w:val="auto"/>
          <w:lang w:val="en-US" w:eastAsia="zh-CN"/>
        </w:rPr>
        <w:t>b按照</w:t>
      </w:r>
      <w:r>
        <w:rPr>
          <w:rFonts w:hint="eastAsia"/>
          <w:color w:val="auto"/>
          <w:lang w:val="en-US" w:eastAsia="zh-CN"/>
        </w:rPr>
        <w:t>三亚</w:t>
      </w:r>
      <w:r>
        <w:rPr>
          <w:rFonts w:hint="default"/>
          <w:color w:val="auto"/>
          <w:lang w:val="en-US" w:eastAsia="zh-CN"/>
        </w:rPr>
        <w:t>市要求采用新型渣土运输车，做到无污染、可监控。</w:t>
      </w:r>
    </w:p>
    <w:p w14:paraId="032192EC">
      <w:pPr>
        <w:rPr>
          <w:rFonts w:hint="default"/>
          <w:color w:val="auto"/>
          <w:lang w:val="en-US" w:eastAsia="zh-CN"/>
        </w:rPr>
      </w:pPr>
      <w:r>
        <w:rPr>
          <w:rFonts w:hint="default"/>
          <w:color w:val="auto"/>
          <w:lang w:val="en-US" w:eastAsia="zh-CN"/>
        </w:rPr>
        <w:t>④现场进出口应设冲洗池和洗湿垫，应保持进出现场车辆清洁</w:t>
      </w:r>
    </w:p>
    <w:p w14:paraId="1BB3BF37">
      <w:pPr>
        <w:rPr>
          <w:rFonts w:hint="default"/>
          <w:color w:val="auto"/>
          <w:lang w:val="en-US" w:eastAsia="zh-CN"/>
        </w:rPr>
      </w:pPr>
      <w:r>
        <w:rPr>
          <w:rFonts w:hint="default"/>
          <w:color w:val="auto"/>
          <w:lang w:val="en-US" w:eastAsia="zh-CN"/>
        </w:rPr>
        <w:t>a施工大门口设置洗车槽，配备洗车设备并设置沉淀池；</w:t>
      </w:r>
    </w:p>
    <w:p w14:paraId="6A578A6E">
      <w:pPr>
        <w:rPr>
          <w:rFonts w:hint="default"/>
          <w:color w:val="auto"/>
          <w:lang w:val="en-US" w:eastAsia="zh-CN"/>
        </w:rPr>
      </w:pPr>
      <w:r>
        <w:rPr>
          <w:rFonts w:hint="default"/>
          <w:color w:val="auto"/>
          <w:lang w:val="en-US" w:eastAsia="zh-CN"/>
        </w:rPr>
        <w:t>b施工大门安排专人对车辆进行冲洗，配备高压冲洗枪。</w:t>
      </w:r>
    </w:p>
    <w:p w14:paraId="1FA35E05">
      <w:pPr>
        <w:rPr>
          <w:rFonts w:hint="default"/>
          <w:color w:val="auto"/>
          <w:lang w:val="en-US" w:eastAsia="zh-CN"/>
        </w:rPr>
      </w:pPr>
      <w:r>
        <w:rPr>
          <w:rFonts w:hint="default"/>
          <w:color w:val="auto"/>
          <w:lang w:val="en-US" w:eastAsia="zh-CN"/>
        </w:rPr>
        <w:t>⑤易飞扬和细颗粒建筑材料应封闭存放，余料应及时回收</w:t>
      </w:r>
    </w:p>
    <w:p w14:paraId="701335EA">
      <w:pPr>
        <w:rPr>
          <w:rFonts w:hint="default"/>
          <w:color w:val="auto"/>
          <w:lang w:val="en-US" w:eastAsia="zh-CN"/>
        </w:rPr>
      </w:pPr>
      <w:r>
        <w:rPr>
          <w:rFonts w:hint="default"/>
          <w:color w:val="auto"/>
          <w:lang w:val="en-US" w:eastAsia="zh-CN"/>
        </w:rPr>
        <w:t>a现场设置临时仓库（彩钢板房），易飞扬和细颗粒建筑材料归类集中堆放至仓库；</w:t>
      </w:r>
    </w:p>
    <w:p w14:paraId="33DDC57B">
      <w:pPr>
        <w:rPr>
          <w:rFonts w:hint="default"/>
          <w:color w:val="auto"/>
          <w:lang w:val="en-US" w:eastAsia="zh-CN"/>
        </w:rPr>
      </w:pPr>
      <w:r>
        <w:rPr>
          <w:rFonts w:hint="default"/>
          <w:color w:val="auto"/>
          <w:lang w:val="en-US" w:eastAsia="zh-CN"/>
        </w:rPr>
        <w:t>b现场堆放的易飞扬、细颗粒建筑材料等，采用彩条布遮盖；施工后的余料及时回收至指定区域。</w:t>
      </w:r>
    </w:p>
    <w:p w14:paraId="20DFDACF">
      <w:pPr>
        <w:rPr>
          <w:rFonts w:hint="default"/>
          <w:color w:val="auto"/>
          <w:lang w:val="en-US" w:eastAsia="zh-CN"/>
        </w:rPr>
      </w:pPr>
      <w:r>
        <w:rPr>
          <w:rFonts w:hint="default"/>
          <w:color w:val="auto"/>
          <w:lang w:val="en-US" w:eastAsia="zh-CN"/>
        </w:rPr>
        <w:t>⑥易产生扬尘的施工作业应采取遮挡、抑尘措施</w:t>
      </w:r>
    </w:p>
    <w:p w14:paraId="0FF7C64B">
      <w:pPr>
        <w:rPr>
          <w:rFonts w:hint="default"/>
          <w:color w:val="auto"/>
          <w:lang w:val="en-US" w:eastAsia="zh-CN"/>
        </w:rPr>
      </w:pPr>
      <w:r>
        <w:rPr>
          <w:rFonts w:hint="default"/>
          <w:color w:val="auto"/>
          <w:lang w:val="en-US" w:eastAsia="zh-CN"/>
        </w:rPr>
        <w:t>a主体施工阶段，随外架设置喷雾降尘管道用于作业面降尘；</w:t>
      </w:r>
    </w:p>
    <w:p w14:paraId="30003808">
      <w:pPr>
        <w:rPr>
          <w:rFonts w:hint="default"/>
          <w:color w:val="auto"/>
          <w:lang w:val="en-US" w:eastAsia="zh-CN"/>
        </w:rPr>
      </w:pPr>
      <w:r>
        <w:rPr>
          <w:rFonts w:hint="default"/>
          <w:color w:val="auto"/>
          <w:lang w:val="en-US" w:eastAsia="zh-CN"/>
        </w:rPr>
        <w:t>b装饰装修阶段采用分离式移动降尘设备；</w:t>
      </w:r>
    </w:p>
    <w:p w14:paraId="0B19AB59">
      <w:pPr>
        <w:rPr>
          <w:rFonts w:hint="default"/>
          <w:color w:val="auto"/>
          <w:lang w:val="en-US" w:eastAsia="zh-CN"/>
        </w:rPr>
      </w:pPr>
      <w:r>
        <w:rPr>
          <w:rFonts w:hint="default"/>
          <w:color w:val="auto"/>
          <w:lang w:val="en-US" w:eastAsia="zh-CN"/>
        </w:rPr>
        <w:t>c木工房等易产生扬尘的部位采用切割粉尘分离吸尘器。</w:t>
      </w:r>
    </w:p>
    <w:p w14:paraId="61C4040D">
      <w:pPr>
        <w:rPr>
          <w:rFonts w:hint="default"/>
          <w:color w:val="auto"/>
          <w:lang w:val="en-US" w:eastAsia="zh-CN"/>
        </w:rPr>
      </w:pPr>
      <w:r>
        <w:rPr>
          <w:rFonts w:hint="default"/>
          <w:color w:val="auto"/>
          <w:lang w:val="en-US" w:eastAsia="zh-CN"/>
        </w:rPr>
        <w:t>⑦现场使用散装水泥、预拌砂浆应有密闭防尘措施</w:t>
      </w:r>
    </w:p>
    <w:p w14:paraId="35AD0C38">
      <w:pPr>
        <w:rPr>
          <w:rFonts w:hint="default"/>
          <w:color w:val="auto"/>
          <w:lang w:val="en-US" w:eastAsia="zh-CN"/>
        </w:rPr>
      </w:pPr>
      <w:r>
        <w:rPr>
          <w:rFonts w:hint="default"/>
          <w:color w:val="auto"/>
          <w:lang w:val="en-US" w:eastAsia="zh-CN"/>
        </w:rPr>
        <w:t>a严格按照</w:t>
      </w:r>
      <w:r>
        <w:rPr>
          <w:rFonts w:hint="eastAsia"/>
          <w:color w:val="auto"/>
          <w:lang w:val="en-US" w:eastAsia="zh-CN"/>
        </w:rPr>
        <w:t>三亚</w:t>
      </w:r>
      <w:r>
        <w:rPr>
          <w:rFonts w:hint="default"/>
          <w:color w:val="auto"/>
          <w:lang w:val="en-US" w:eastAsia="zh-CN"/>
        </w:rPr>
        <w:t>市要求使用的砌筑、墙面、地面砂浆采用散装预拌砂浆；</w:t>
      </w:r>
    </w:p>
    <w:p w14:paraId="39E58181">
      <w:pPr>
        <w:rPr>
          <w:rFonts w:hint="default"/>
          <w:color w:val="auto"/>
          <w:lang w:val="en-US" w:eastAsia="zh-CN"/>
        </w:rPr>
      </w:pPr>
      <w:r>
        <w:rPr>
          <w:rFonts w:hint="default"/>
          <w:color w:val="auto"/>
          <w:lang w:val="en-US" w:eastAsia="zh-CN"/>
        </w:rPr>
        <w:t>b对于易产生粉尘的材料采取封闭储存。</w:t>
      </w:r>
    </w:p>
    <w:p w14:paraId="2C0637E3">
      <w:pPr>
        <w:rPr>
          <w:rFonts w:hint="default"/>
          <w:color w:val="auto"/>
          <w:lang w:val="en-US" w:eastAsia="zh-CN"/>
        </w:rPr>
      </w:pPr>
      <w:r>
        <w:rPr>
          <w:rFonts w:hint="default"/>
          <w:color w:val="auto"/>
          <w:lang w:val="en-US" w:eastAsia="zh-CN"/>
        </w:rPr>
        <w:t>（4）废气排放</w:t>
      </w:r>
    </w:p>
    <w:p w14:paraId="75C49E35">
      <w:pPr>
        <w:rPr>
          <w:rFonts w:hint="default"/>
          <w:color w:val="auto"/>
          <w:lang w:val="en-US" w:eastAsia="zh-CN"/>
        </w:rPr>
      </w:pPr>
      <w:r>
        <w:rPr>
          <w:rFonts w:hint="default"/>
          <w:color w:val="auto"/>
          <w:lang w:val="en-US" w:eastAsia="zh-CN"/>
        </w:rPr>
        <w:t>①进出场车辆及机械设备废气排放应符合国家年检要求</w:t>
      </w:r>
    </w:p>
    <w:p w14:paraId="6A3FDC5E">
      <w:pPr>
        <w:rPr>
          <w:rFonts w:hint="default"/>
          <w:color w:val="auto"/>
          <w:lang w:val="en-US" w:eastAsia="zh-CN"/>
        </w:rPr>
      </w:pPr>
      <w:r>
        <w:rPr>
          <w:rFonts w:hint="default"/>
          <w:color w:val="auto"/>
          <w:lang w:val="en-US" w:eastAsia="zh-CN"/>
        </w:rPr>
        <w:t>车辆及机械设备应挂年检标识牌，各项检测指标符合国家废气排放要求。</w:t>
      </w:r>
    </w:p>
    <w:p w14:paraId="0CF58E4C">
      <w:pPr>
        <w:rPr>
          <w:rFonts w:hint="default"/>
          <w:color w:val="auto"/>
          <w:lang w:val="en-US" w:eastAsia="zh-CN"/>
        </w:rPr>
      </w:pPr>
      <w:r>
        <w:rPr>
          <w:rFonts w:hint="default"/>
          <w:color w:val="auto"/>
          <w:lang w:val="en-US" w:eastAsia="zh-CN"/>
        </w:rPr>
        <w:t>②不应使用煤作为现场生活的燃料</w:t>
      </w:r>
    </w:p>
    <w:p w14:paraId="551612C3">
      <w:pPr>
        <w:rPr>
          <w:rFonts w:hint="default"/>
          <w:color w:val="auto"/>
          <w:lang w:val="en-US" w:eastAsia="zh-CN"/>
        </w:rPr>
      </w:pPr>
      <w:r>
        <w:rPr>
          <w:rFonts w:hint="default"/>
          <w:color w:val="auto"/>
          <w:lang w:val="en-US" w:eastAsia="zh-CN"/>
        </w:rPr>
        <w:t>采用煤气、液化气等作为现场生活燃料。</w:t>
      </w:r>
    </w:p>
    <w:p w14:paraId="02F84D31">
      <w:pPr>
        <w:rPr>
          <w:rFonts w:hint="default"/>
          <w:color w:val="auto"/>
          <w:lang w:val="en-US" w:eastAsia="zh-CN"/>
        </w:rPr>
      </w:pPr>
      <w:r>
        <w:rPr>
          <w:rFonts w:hint="default"/>
          <w:color w:val="auto"/>
          <w:lang w:val="en-US" w:eastAsia="zh-CN"/>
        </w:rPr>
        <w:t>生活区取暖设置专用线路，利用空调或电油汀等节能电取暖器。</w:t>
      </w:r>
    </w:p>
    <w:p w14:paraId="1B4BB763">
      <w:pPr>
        <w:rPr>
          <w:rFonts w:hint="default"/>
          <w:color w:val="auto"/>
          <w:lang w:val="en-US" w:eastAsia="zh-CN"/>
        </w:rPr>
      </w:pPr>
      <w:r>
        <w:rPr>
          <w:rFonts w:hint="default"/>
          <w:color w:val="auto"/>
          <w:lang w:val="en-US" w:eastAsia="zh-CN"/>
        </w:rPr>
        <w:t>③电焊烟气的排放应符合现行国家标准《大气污染综合排放标准》GB16297的规定</w:t>
      </w:r>
    </w:p>
    <w:p w14:paraId="644001DF">
      <w:pPr>
        <w:rPr>
          <w:rFonts w:hint="default"/>
          <w:color w:val="auto"/>
          <w:lang w:val="en-US" w:eastAsia="zh-CN"/>
        </w:rPr>
      </w:pPr>
      <w:r>
        <w:rPr>
          <w:rFonts w:hint="default"/>
          <w:color w:val="auto"/>
          <w:lang w:val="en-US" w:eastAsia="zh-CN"/>
        </w:rPr>
        <w:t>焊机进场前进行检验检测，确保满足废气排放标准要求。</w:t>
      </w:r>
    </w:p>
    <w:p w14:paraId="119AF1E7">
      <w:pPr>
        <w:rPr>
          <w:rFonts w:hint="default"/>
          <w:color w:val="auto"/>
          <w:lang w:val="en-US" w:eastAsia="zh-CN"/>
        </w:rPr>
      </w:pPr>
      <w:r>
        <w:rPr>
          <w:rFonts w:hint="default"/>
          <w:color w:val="auto"/>
          <w:lang w:val="en-US" w:eastAsia="zh-CN"/>
        </w:rPr>
        <w:t>项目部配备烟气检测器，并派专人对现场焊机进行定期及突击检查。</w:t>
      </w:r>
    </w:p>
    <w:p w14:paraId="2A9D290E">
      <w:pPr>
        <w:rPr>
          <w:rFonts w:hint="default"/>
          <w:color w:val="auto"/>
          <w:lang w:val="en-US" w:eastAsia="zh-CN"/>
        </w:rPr>
      </w:pPr>
      <w:r>
        <w:rPr>
          <w:rFonts w:hint="default"/>
          <w:color w:val="auto"/>
          <w:lang w:val="en-US" w:eastAsia="zh-CN"/>
        </w:rPr>
        <w:t>④不应在现场燃烧废弃物</w:t>
      </w:r>
    </w:p>
    <w:p w14:paraId="5A4455D3">
      <w:pPr>
        <w:rPr>
          <w:rFonts w:hint="default"/>
          <w:color w:val="auto"/>
          <w:lang w:val="en-US" w:eastAsia="zh-CN"/>
        </w:rPr>
      </w:pPr>
      <w:r>
        <w:rPr>
          <w:rFonts w:hint="default"/>
          <w:color w:val="auto"/>
          <w:lang w:val="en-US" w:eastAsia="zh-CN"/>
        </w:rPr>
        <w:t>现场产生的废弃物分类存放，委托有资质单位进行统一消纳处理；</w:t>
      </w:r>
    </w:p>
    <w:p w14:paraId="368C587B">
      <w:pPr>
        <w:rPr>
          <w:rFonts w:hint="default"/>
          <w:color w:val="auto"/>
          <w:lang w:val="en-US" w:eastAsia="zh-CN"/>
        </w:rPr>
      </w:pPr>
      <w:r>
        <w:rPr>
          <w:rFonts w:hint="default"/>
          <w:color w:val="auto"/>
          <w:lang w:val="en-US" w:eastAsia="zh-CN"/>
        </w:rPr>
        <w:t>现场安排保安进行24小时巡逻，严禁在现场燃烧废弃物，违者将按相关规定处理。</w:t>
      </w:r>
    </w:p>
    <w:p w14:paraId="304BEF81">
      <w:pPr>
        <w:rPr>
          <w:rFonts w:hint="default"/>
          <w:color w:val="auto"/>
          <w:lang w:val="en-US" w:eastAsia="zh-CN"/>
        </w:rPr>
      </w:pPr>
      <w:r>
        <w:rPr>
          <w:rFonts w:hint="default"/>
          <w:color w:val="auto"/>
          <w:lang w:val="en-US" w:eastAsia="zh-CN"/>
        </w:rPr>
        <w:t>（5）建筑垃圾处置</w:t>
      </w:r>
    </w:p>
    <w:p w14:paraId="04DFF87E">
      <w:pPr>
        <w:rPr>
          <w:rFonts w:hint="default"/>
          <w:color w:val="auto"/>
          <w:lang w:val="en-US" w:eastAsia="zh-CN"/>
        </w:rPr>
      </w:pPr>
      <w:r>
        <w:rPr>
          <w:rFonts w:hint="default"/>
          <w:color w:val="auto"/>
          <w:lang w:val="en-US" w:eastAsia="zh-CN"/>
        </w:rPr>
        <w:t>①建筑垃圾应分类收集、集中堆放</w:t>
      </w:r>
    </w:p>
    <w:p w14:paraId="272D1E47">
      <w:pPr>
        <w:rPr>
          <w:rFonts w:hint="default"/>
          <w:color w:val="auto"/>
          <w:lang w:val="en-US" w:eastAsia="zh-CN"/>
        </w:rPr>
      </w:pPr>
      <w:r>
        <w:rPr>
          <w:rFonts w:hint="default"/>
          <w:color w:val="auto"/>
          <w:lang w:val="en-US" w:eastAsia="zh-CN"/>
        </w:rPr>
        <w:t>设置建筑垃圾堆放点。</w:t>
      </w:r>
    </w:p>
    <w:p w14:paraId="703FF98B">
      <w:pPr>
        <w:rPr>
          <w:rFonts w:hint="default"/>
          <w:color w:val="auto"/>
          <w:lang w:val="en-US" w:eastAsia="zh-CN"/>
        </w:rPr>
      </w:pPr>
      <w:r>
        <w:rPr>
          <w:rFonts w:hint="default"/>
          <w:color w:val="auto"/>
          <w:lang w:val="en-US" w:eastAsia="zh-CN"/>
        </w:rPr>
        <w:t>按照可回收、不可回收、有毒有害等进行分类堆放。</w:t>
      </w:r>
    </w:p>
    <w:p w14:paraId="1703BDF2">
      <w:pPr>
        <w:rPr>
          <w:rFonts w:hint="default"/>
          <w:color w:val="auto"/>
          <w:lang w:val="en-US" w:eastAsia="zh-CN"/>
        </w:rPr>
      </w:pPr>
      <w:r>
        <w:rPr>
          <w:rFonts w:hint="default"/>
          <w:color w:val="auto"/>
          <w:lang w:val="en-US" w:eastAsia="zh-CN"/>
        </w:rPr>
        <w:t>②废电池、废墨盒等有毒有害的废弃物应封闭回收，不应混放</w:t>
      </w:r>
    </w:p>
    <w:p w14:paraId="504932CE">
      <w:pPr>
        <w:rPr>
          <w:rFonts w:hint="default"/>
          <w:color w:val="auto"/>
          <w:lang w:val="en-US" w:eastAsia="zh-CN"/>
        </w:rPr>
      </w:pPr>
      <w:r>
        <w:rPr>
          <w:rFonts w:hint="default"/>
          <w:color w:val="auto"/>
          <w:lang w:val="en-US" w:eastAsia="zh-CN"/>
        </w:rPr>
        <w:t>生活区后勤负责人应注意废电池、废墨盒等有害废弃物的回收且不应和其他东西混放。</w:t>
      </w:r>
    </w:p>
    <w:p w14:paraId="3B4059BB">
      <w:pPr>
        <w:rPr>
          <w:rFonts w:hint="default"/>
          <w:color w:val="auto"/>
          <w:lang w:val="en-US" w:eastAsia="zh-CN"/>
        </w:rPr>
      </w:pPr>
      <w:r>
        <w:rPr>
          <w:rFonts w:hint="default"/>
          <w:color w:val="auto"/>
          <w:lang w:val="en-US" w:eastAsia="zh-CN"/>
        </w:rPr>
        <w:t>③有毒有害废物分类率应达到100%</w:t>
      </w:r>
    </w:p>
    <w:p w14:paraId="2B84C304">
      <w:pPr>
        <w:rPr>
          <w:rFonts w:hint="default"/>
          <w:color w:val="auto"/>
          <w:lang w:val="en-US" w:eastAsia="zh-CN"/>
        </w:rPr>
      </w:pPr>
      <w:r>
        <w:rPr>
          <w:rFonts w:hint="default"/>
          <w:color w:val="auto"/>
          <w:lang w:val="en-US" w:eastAsia="zh-CN"/>
        </w:rPr>
        <w:t>根据现场材料进场情况进行登记汇总管理，针对产生有毒有害废物的材料进行跟踪管理，并制定相应的分类处理措施；</w:t>
      </w:r>
    </w:p>
    <w:p w14:paraId="4E784809">
      <w:pPr>
        <w:rPr>
          <w:rFonts w:hint="default"/>
          <w:color w:val="auto"/>
          <w:lang w:val="en-US" w:eastAsia="zh-CN"/>
        </w:rPr>
      </w:pPr>
      <w:r>
        <w:rPr>
          <w:rFonts w:hint="default"/>
          <w:color w:val="auto"/>
          <w:lang w:val="en-US" w:eastAsia="zh-CN"/>
        </w:rPr>
        <w:t>对现场可能产生的废弃物进行挂牌公示，并设置专用的回收装置，并对施工现场工人及管理人员进行管理，避免有毒有害物质未按要求进行处理。</w:t>
      </w:r>
    </w:p>
    <w:p w14:paraId="579939E0">
      <w:pPr>
        <w:rPr>
          <w:rFonts w:hint="default"/>
          <w:color w:val="auto"/>
          <w:lang w:val="en-US" w:eastAsia="zh-CN"/>
        </w:rPr>
      </w:pPr>
      <w:r>
        <w:rPr>
          <w:rFonts w:hint="default"/>
          <w:color w:val="auto"/>
          <w:lang w:val="en-US" w:eastAsia="zh-CN"/>
        </w:rPr>
        <w:t>④垃圾桶应分为可回收利用与不可回收利用两类，应定期清运</w:t>
      </w:r>
    </w:p>
    <w:p w14:paraId="5E6F25BC">
      <w:pPr>
        <w:rPr>
          <w:rFonts w:hint="default"/>
          <w:color w:val="auto"/>
          <w:lang w:val="en-US" w:eastAsia="zh-CN"/>
        </w:rPr>
      </w:pPr>
      <w:r>
        <w:rPr>
          <w:rFonts w:hint="default"/>
          <w:color w:val="auto"/>
          <w:lang w:val="en-US" w:eastAsia="zh-CN"/>
        </w:rPr>
        <w:t>将生产垃圾与生活垃圾进行分开处理，进行分类，分为可回收和不可回收两类，并委托垃圾清运单位定期安排专用车辆进行清运。</w:t>
      </w:r>
    </w:p>
    <w:p w14:paraId="09EC2958">
      <w:pPr>
        <w:rPr>
          <w:rFonts w:hint="default"/>
          <w:color w:val="auto"/>
          <w:lang w:val="en-US" w:eastAsia="zh-CN"/>
        </w:rPr>
      </w:pPr>
      <w:r>
        <w:rPr>
          <w:rFonts w:hint="default"/>
          <w:color w:val="auto"/>
          <w:lang w:val="en-US" w:eastAsia="zh-CN"/>
        </w:rPr>
        <w:t>⑤建筑垃圾回收利用率应达到30%</w:t>
      </w:r>
    </w:p>
    <w:p w14:paraId="5C60283E">
      <w:pPr>
        <w:rPr>
          <w:rFonts w:hint="default"/>
          <w:color w:val="auto"/>
          <w:lang w:val="en-US" w:eastAsia="zh-CN"/>
        </w:rPr>
      </w:pPr>
      <w:r>
        <w:rPr>
          <w:rFonts w:hint="default"/>
          <w:color w:val="auto"/>
          <w:lang w:val="en-US" w:eastAsia="zh-CN"/>
        </w:rPr>
        <w:t>每月评价表进行打分，自评报告中进行估算，每月建筑垃圾回收利用率应不小于30%。。</w:t>
      </w:r>
    </w:p>
    <w:p w14:paraId="4CD14F9B">
      <w:pPr>
        <w:rPr>
          <w:rFonts w:hint="default"/>
          <w:color w:val="auto"/>
          <w:lang w:val="en-US" w:eastAsia="zh-CN"/>
        </w:rPr>
      </w:pPr>
      <w:r>
        <w:rPr>
          <w:rFonts w:hint="default"/>
          <w:color w:val="auto"/>
          <w:lang w:val="en-US" w:eastAsia="zh-CN"/>
        </w:rPr>
        <w:t>桩头破除的混凝土块用于施工道路、车间等的铺设，砌体废料粉碎后用于屋面找平层。</w:t>
      </w:r>
    </w:p>
    <w:p w14:paraId="555349DF">
      <w:pPr>
        <w:rPr>
          <w:rFonts w:hint="default"/>
          <w:color w:val="auto"/>
          <w:lang w:val="en-US" w:eastAsia="zh-CN"/>
        </w:rPr>
      </w:pPr>
      <w:r>
        <w:rPr>
          <w:rFonts w:hint="default"/>
          <w:color w:val="auto"/>
          <w:lang w:val="en-US" w:eastAsia="zh-CN"/>
        </w:rPr>
        <w:t>模板角料用于墙柱阴阳角、楼梯等部位的防护模板。</w:t>
      </w:r>
    </w:p>
    <w:p w14:paraId="1531F376">
      <w:pPr>
        <w:rPr>
          <w:rFonts w:hint="default"/>
          <w:color w:val="auto"/>
          <w:lang w:val="en-US" w:eastAsia="zh-CN"/>
        </w:rPr>
      </w:pPr>
      <w:r>
        <w:rPr>
          <w:rFonts w:hint="default"/>
          <w:color w:val="auto"/>
          <w:lang w:val="en-US" w:eastAsia="zh-CN"/>
        </w:rPr>
        <w:t>⑥碎石或土方类等应用作地基和路基回填材料</w:t>
      </w:r>
    </w:p>
    <w:p w14:paraId="11FF7C26">
      <w:pPr>
        <w:rPr>
          <w:rFonts w:hint="default"/>
          <w:color w:val="auto"/>
          <w:lang w:val="en-US" w:eastAsia="zh-CN"/>
        </w:rPr>
      </w:pPr>
      <w:r>
        <w:rPr>
          <w:rFonts w:hint="default"/>
          <w:color w:val="auto"/>
          <w:lang w:val="en-US" w:eastAsia="zh-CN"/>
        </w:rPr>
        <w:t>根据现场碎石及土方进行规划，用于肥槽及路基回填。</w:t>
      </w:r>
    </w:p>
    <w:p w14:paraId="59259A89">
      <w:pPr>
        <w:rPr>
          <w:rFonts w:hint="default"/>
          <w:color w:val="auto"/>
          <w:lang w:val="en-US" w:eastAsia="zh-CN"/>
        </w:rPr>
      </w:pPr>
      <w:r>
        <w:rPr>
          <w:rFonts w:hint="default"/>
          <w:color w:val="auto"/>
          <w:lang w:val="en-US" w:eastAsia="zh-CN"/>
        </w:rPr>
        <w:t>（6）污水排放</w:t>
      </w:r>
    </w:p>
    <w:p w14:paraId="64AD5373">
      <w:pPr>
        <w:rPr>
          <w:rFonts w:hint="default"/>
          <w:color w:val="auto"/>
          <w:lang w:val="en-US" w:eastAsia="zh-CN"/>
        </w:rPr>
      </w:pPr>
      <w:r>
        <w:rPr>
          <w:rFonts w:hint="default"/>
          <w:color w:val="auto"/>
          <w:lang w:val="en-US" w:eastAsia="zh-CN"/>
        </w:rPr>
        <w:t>①现场道路和材料堆放场地周边应设排水沟</w:t>
      </w:r>
    </w:p>
    <w:p w14:paraId="1F67EA71">
      <w:pPr>
        <w:rPr>
          <w:rFonts w:hint="default"/>
          <w:color w:val="auto"/>
          <w:lang w:val="en-US" w:eastAsia="zh-CN"/>
        </w:rPr>
      </w:pPr>
      <w:r>
        <w:rPr>
          <w:rFonts w:hint="default"/>
          <w:color w:val="auto"/>
          <w:lang w:val="en-US" w:eastAsia="zh-CN"/>
        </w:rPr>
        <w:t>排水沟尺寸：宽300mm、深300mm，底部填3-5mm石屑，沟内排水坡度3‰。</w:t>
      </w:r>
    </w:p>
    <w:p w14:paraId="7AC2EA2D">
      <w:pPr>
        <w:rPr>
          <w:rFonts w:hint="default"/>
          <w:color w:val="auto"/>
          <w:lang w:val="en-US" w:eastAsia="zh-CN"/>
        </w:rPr>
      </w:pPr>
      <w:r>
        <w:rPr>
          <w:rFonts w:hint="default"/>
          <w:color w:val="auto"/>
          <w:lang w:val="en-US" w:eastAsia="zh-CN"/>
        </w:rPr>
        <w:t>②工程污水和试验室养护用水应经处理达标后排入市政污水管道</w:t>
      </w:r>
    </w:p>
    <w:p w14:paraId="4C4ACCB4">
      <w:pPr>
        <w:rPr>
          <w:rFonts w:hint="default"/>
          <w:color w:val="auto"/>
          <w:lang w:val="en-US" w:eastAsia="zh-CN"/>
        </w:rPr>
      </w:pPr>
      <w:r>
        <w:rPr>
          <w:rFonts w:hint="default"/>
          <w:color w:val="auto"/>
          <w:lang w:val="en-US" w:eastAsia="zh-CN"/>
        </w:rPr>
        <w:t>现场设置沉淀池，基坑降水、实验室养护用水必须经过沉淀、净化后方可排向市政管网。</w:t>
      </w:r>
    </w:p>
    <w:p w14:paraId="2286D9E4">
      <w:pPr>
        <w:rPr>
          <w:rFonts w:hint="default"/>
          <w:color w:val="auto"/>
          <w:lang w:val="en-US" w:eastAsia="zh-CN"/>
        </w:rPr>
      </w:pPr>
      <w:r>
        <w:rPr>
          <w:rFonts w:hint="default"/>
          <w:color w:val="auto"/>
          <w:lang w:val="en-US" w:eastAsia="zh-CN"/>
        </w:rPr>
        <w:t>③现场厕所应设置化粪池，化粪池应定期清理</w:t>
      </w:r>
    </w:p>
    <w:p w14:paraId="472A6493">
      <w:pPr>
        <w:rPr>
          <w:rFonts w:hint="default"/>
          <w:color w:val="auto"/>
          <w:lang w:val="en-US" w:eastAsia="zh-CN"/>
        </w:rPr>
      </w:pPr>
      <w:r>
        <w:rPr>
          <w:rFonts w:hint="default"/>
          <w:color w:val="auto"/>
          <w:lang w:val="en-US" w:eastAsia="zh-CN"/>
        </w:rPr>
        <w:t>平面布置时统筹考虑化粪池的设置位置，并进行详细计算，做到使用方便，便于处理。</w:t>
      </w:r>
    </w:p>
    <w:p w14:paraId="0677C925">
      <w:pPr>
        <w:rPr>
          <w:rFonts w:hint="default"/>
          <w:color w:val="auto"/>
          <w:lang w:val="en-US" w:eastAsia="zh-CN"/>
        </w:rPr>
      </w:pPr>
      <w:r>
        <w:rPr>
          <w:rFonts w:hint="default"/>
          <w:color w:val="auto"/>
          <w:lang w:val="en-US" w:eastAsia="zh-CN"/>
        </w:rPr>
        <w:t>现场厕所按照要求一厕所设置一化粪池，并委托有资质的专业单位每周清理。</w:t>
      </w:r>
    </w:p>
    <w:p w14:paraId="30391026">
      <w:pPr>
        <w:rPr>
          <w:rFonts w:hint="default"/>
          <w:color w:val="auto"/>
          <w:lang w:val="en-US" w:eastAsia="zh-CN"/>
        </w:rPr>
      </w:pPr>
      <w:r>
        <w:rPr>
          <w:rFonts w:hint="default"/>
          <w:color w:val="auto"/>
          <w:lang w:val="en-US" w:eastAsia="zh-CN"/>
        </w:rPr>
        <w:t>④工地厨房应设隔油池，应定期清理。</w:t>
      </w:r>
    </w:p>
    <w:p w14:paraId="10087D2C">
      <w:pPr>
        <w:rPr>
          <w:rFonts w:hint="default"/>
          <w:color w:val="auto"/>
          <w:lang w:val="en-US" w:eastAsia="zh-CN"/>
        </w:rPr>
      </w:pPr>
      <w:r>
        <w:rPr>
          <w:rFonts w:hint="default"/>
          <w:color w:val="auto"/>
          <w:lang w:val="en-US" w:eastAsia="zh-CN"/>
        </w:rPr>
        <w:t>⑤雨水、污水应分流排放</w:t>
      </w:r>
    </w:p>
    <w:p w14:paraId="1A308F06">
      <w:pPr>
        <w:rPr>
          <w:rFonts w:hint="default"/>
          <w:color w:val="auto"/>
          <w:lang w:val="en-US" w:eastAsia="zh-CN"/>
        </w:rPr>
      </w:pPr>
      <w:r>
        <w:rPr>
          <w:rFonts w:hint="default"/>
          <w:color w:val="auto"/>
          <w:lang w:val="en-US" w:eastAsia="zh-CN"/>
        </w:rPr>
        <w:t>根据施工阶段对现场进行规划，通过自然找坡及排水沟进行雨水的收集，并经过沉淀等处理，进行绿化灌溉、道路扬尘控制等二次利用。</w:t>
      </w:r>
    </w:p>
    <w:p w14:paraId="3B08ECD8">
      <w:pPr>
        <w:rPr>
          <w:rFonts w:hint="default"/>
          <w:color w:val="auto"/>
          <w:lang w:val="en-US" w:eastAsia="zh-CN"/>
        </w:rPr>
      </w:pPr>
      <w:r>
        <w:rPr>
          <w:rFonts w:hint="default"/>
          <w:color w:val="auto"/>
          <w:lang w:val="en-US" w:eastAsia="zh-CN"/>
        </w:rPr>
        <w:t>根据污水种类的不同，对污水进行分类处理，经检验合格后用于绿化灌溉、道路扬尘控制及施工用水。</w:t>
      </w:r>
    </w:p>
    <w:p w14:paraId="1734DBB8">
      <w:pPr>
        <w:rPr>
          <w:rFonts w:hint="default"/>
          <w:color w:val="auto"/>
          <w:lang w:val="en-US" w:eastAsia="zh-CN"/>
        </w:rPr>
      </w:pPr>
      <w:r>
        <w:rPr>
          <w:rFonts w:hint="default"/>
          <w:color w:val="auto"/>
          <w:lang w:val="en-US" w:eastAsia="zh-CN"/>
        </w:rPr>
        <w:t>（7）光污染</w:t>
      </w:r>
    </w:p>
    <w:p w14:paraId="17AB950E">
      <w:pPr>
        <w:rPr>
          <w:rFonts w:hint="default"/>
          <w:color w:val="auto"/>
          <w:lang w:val="en-US" w:eastAsia="zh-CN"/>
        </w:rPr>
      </w:pPr>
      <w:r>
        <w:rPr>
          <w:rFonts w:hint="default"/>
          <w:color w:val="auto"/>
          <w:lang w:val="en-US" w:eastAsia="zh-CN"/>
        </w:rPr>
        <w:t>①夜间焊接作业时，应采取挡光措施</w:t>
      </w:r>
    </w:p>
    <w:p w14:paraId="6DFDB599">
      <w:pPr>
        <w:rPr>
          <w:rFonts w:hint="default"/>
          <w:color w:val="auto"/>
          <w:lang w:val="en-US" w:eastAsia="zh-CN"/>
        </w:rPr>
      </w:pPr>
      <w:r>
        <w:rPr>
          <w:rFonts w:hint="default"/>
          <w:color w:val="auto"/>
          <w:lang w:val="en-US" w:eastAsia="zh-CN"/>
        </w:rPr>
        <w:t>合理协调各施工工序，一般情况下夜间不采取焊接作业；</w:t>
      </w:r>
    </w:p>
    <w:p w14:paraId="793FA1F1">
      <w:pPr>
        <w:rPr>
          <w:rFonts w:hint="default"/>
          <w:color w:val="auto"/>
          <w:lang w:val="en-US" w:eastAsia="zh-CN"/>
        </w:rPr>
      </w:pPr>
      <w:r>
        <w:rPr>
          <w:rFonts w:hint="default"/>
          <w:color w:val="auto"/>
          <w:lang w:val="en-US" w:eastAsia="zh-CN"/>
        </w:rPr>
        <w:t>夜间电焊作业时采用铁制遮光棚，罩挡光和屏蔽电焊产生的高次谐波。</w:t>
      </w:r>
    </w:p>
    <w:p w14:paraId="2D90A327">
      <w:pPr>
        <w:rPr>
          <w:rFonts w:hint="default"/>
          <w:color w:val="auto"/>
          <w:lang w:val="en-US" w:eastAsia="zh-CN"/>
        </w:rPr>
      </w:pPr>
      <w:r>
        <w:rPr>
          <w:rFonts w:hint="default"/>
          <w:color w:val="auto"/>
          <w:lang w:val="en-US" w:eastAsia="zh-CN"/>
        </w:rPr>
        <w:t>②工地设置大型照明灯具时，应有防止强光线外泄的措施</w:t>
      </w:r>
    </w:p>
    <w:p w14:paraId="4524F7D4">
      <w:pPr>
        <w:rPr>
          <w:rFonts w:hint="default"/>
          <w:color w:val="auto"/>
          <w:lang w:val="en-US" w:eastAsia="zh-CN"/>
        </w:rPr>
      </w:pPr>
      <w:r>
        <w:rPr>
          <w:rFonts w:hint="default"/>
          <w:color w:val="auto"/>
          <w:lang w:val="en-US" w:eastAsia="zh-CN"/>
        </w:rPr>
        <w:t>现场塔吊等部位悬挂的镝灯等大型照明工具配置微型电脑定时开关；</w:t>
      </w:r>
    </w:p>
    <w:p w14:paraId="2A6CFE44">
      <w:pPr>
        <w:rPr>
          <w:rFonts w:hint="default"/>
          <w:color w:val="auto"/>
          <w:lang w:val="en-US" w:eastAsia="zh-CN"/>
        </w:rPr>
      </w:pPr>
      <w:r>
        <w:rPr>
          <w:rFonts w:hint="default"/>
          <w:color w:val="auto"/>
          <w:lang w:val="en-US" w:eastAsia="zh-CN"/>
        </w:rPr>
        <w:t>灯光射向指向现场，有效控制光外泄以及对周围居民生活干扰。</w:t>
      </w:r>
    </w:p>
    <w:p w14:paraId="5F504753">
      <w:pPr>
        <w:rPr>
          <w:rFonts w:hint="default"/>
          <w:color w:val="auto"/>
          <w:lang w:val="en-US" w:eastAsia="zh-CN"/>
        </w:rPr>
      </w:pPr>
      <w:r>
        <w:rPr>
          <w:rFonts w:hint="default"/>
          <w:color w:val="auto"/>
          <w:lang w:val="en-US" w:eastAsia="zh-CN"/>
        </w:rPr>
        <w:t>（8）噪音控制</w:t>
      </w:r>
    </w:p>
    <w:p w14:paraId="11370FD3">
      <w:pPr>
        <w:rPr>
          <w:rFonts w:hint="default"/>
          <w:color w:val="auto"/>
          <w:lang w:val="en-US" w:eastAsia="zh-CN"/>
        </w:rPr>
      </w:pPr>
      <w:r>
        <w:rPr>
          <w:rFonts w:hint="default"/>
          <w:color w:val="auto"/>
          <w:lang w:val="en-US" w:eastAsia="zh-CN"/>
        </w:rPr>
        <w:t>①应采用先进机械、低噪音设备进行施工，机械、设备应定期保养维护</w:t>
      </w:r>
    </w:p>
    <w:p w14:paraId="69AD2BE3">
      <w:pPr>
        <w:rPr>
          <w:rFonts w:hint="default"/>
          <w:color w:val="auto"/>
          <w:lang w:val="en-US" w:eastAsia="zh-CN"/>
        </w:rPr>
      </w:pPr>
      <w:r>
        <w:rPr>
          <w:rFonts w:hint="default"/>
          <w:color w:val="auto"/>
          <w:lang w:val="en-US" w:eastAsia="zh-CN"/>
        </w:rPr>
        <w:t>制定机械设备保养维护制度，配备专职维修员定期保养维修，确保机械、设备处于正常工作状态；</w:t>
      </w:r>
    </w:p>
    <w:p w14:paraId="5C326D09">
      <w:pPr>
        <w:rPr>
          <w:rFonts w:hint="default"/>
          <w:color w:val="auto"/>
          <w:lang w:val="en-US" w:eastAsia="zh-CN"/>
        </w:rPr>
      </w:pPr>
      <w:r>
        <w:rPr>
          <w:rFonts w:hint="default"/>
          <w:color w:val="auto"/>
          <w:lang w:val="en-US" w:eastAsia="zh-CN"/>
        </w:rPr>
        <w:t>选用三年以内性能良好的机械设备。</w:t>
      </w:r>
    </w:p>
    <w:p w14:paraId="4672569C">
      <w:pPr>
        <w:rPr>
          <w:rFonts w:hint="default"/>
          <w:color w:val="auto"/>
          <w:lang w:val="en-US" w:eastAsia="zh-CN"/>
        </w:rPr>
      </w:pPr>
      <w:r>
        <w:rPr>
          <w:rFonts w:hint="default"/>
          <w:color w:val="auto"/>
          <w:lang w:val="en-US" w:eastAsia="zh-CN"/>
        </w:rPr>
        <w:t>②产生噪音较大的机械设备，应尽量远离施工现场办公区、生活区和周边住宅区</w:t>
      </w:r>
    </w:p>
    <w:p w14:paraId="647B1C00">
      <w:pPr>
        <w:rPr>
          <w:rFonts w:hint="default"/>
          <w:color w:val="auto"/>
          <w:lang w:val="en-US" w:eastAsia="zh-CN"/>
        </w:rPr>
      </w:pPr>
      <w:r>
        <w:rPr>
          <w:rFonts w:hint="default"/>
          <w:color w:val="auto"/>
          <w:lang w:val="en-US" w:eastAsia="zh-CN"/>
        </w:rPr>
        <w:t>土方机械等，布置距离办公区、生活区至少30米。</w:t>
      </w:r>
    </w:p>
    <w:p w14:paraId="3094ECB1">
      <w:pPr>
        <w:rPr>
          <w:rFonts w:hint="default"/>
          <w:color w:val="auto"/>
          <w:lang w:val="en-US" w:eastAsia="zh-CN"/>
        </w:rPr>
      </w:pPr>
      <w:r>
        <w:rPr>
          <w:rFonts w:hint="default"/>
          <w:color w:val="auto"/>
          <w:lang w:val="en-US" w:eastAsia="zh-CN"/>
        </w:rPr>
        <w:t>③混凝土输送泵、电锯房等应设有吸声降噪屏或其他降噪措施</w:t>
      </w:r>
    </w:p>
    <w:p w14:paraId="2ED58890">
      <w:pPr>
        <w:rPr>
          <w:rFonts w:hint="default"/>
          <w:color w:val="auto"/>
          <w:lang w:val="en-US" w:eastAsia="zh-CN"/>
        </w:rPr>
      </w:pPr>
      <w:r>
        <w:rPr>
          <w:rFonts w:hint="default"/>
          <w:color w:val="auto"/>
          <w:lang w:val="en-US" w:eastAsia="zh-CN"/>
        </w:rPr>
        <w:t>混凝土输送泵采取积极隔音和消声措施，隔音棚有4层防护，包括两层5cm的岩棉，一层多层板和龙骨架支起的多层帆布；</w:t>
      </w:r>
    </w:p>
    <w:p w14:paraId="7D4836C4">
      <w:pPr>
        <w:rPr>
          <w:rFonts w:hint="default"/>
          <w:color w:val="auto"/>
          <w:lang w:val="en-US" w:eastAsia="zh-CN"/>
        </w:rPr>
      </w:pPr>
      <w:r>
        <w:rPr>
          <w:rFonts w:hint="default"/>
          <w:color w:val="auto"/>
          <w:lang w:val="en-US" w:eastAsia="zh-CN"/>
        </w:rPr>
        <w:t>设置封闭式木工加工棚（采用彩板房搭设）。</w:t>
      </w:r>
    </w:p>
    <w:p w14:paraId="4AAEED87">
      <w:pPr>
        <w:rPr>
          <w:rFonts w:hint="default"/>
          <w:color w:val="auto"/>
          <w:lang w:val="en-US" w:eastAsia="zh-CN"/>
        </w:rPr>
      </w:pPr>
      <w:r>
        <w:rPr>
          <w:rFonts w:hint="default"/>
          <w:color w:val="auto"/>
          <w:lang w:val="en-US" w:eastAsia="zh-CN"/>
        </w:rPr>
        <w:t>④夜间施工噪声声强值应符合国家有关规定</w:t>
      </w:r>
    </w:p>
    <w:p w14:paraId="6FF803B2">
      <w:pPr>
        <w:rPr>
          <w:rFonts w:hint="default"/>
          <w:color w:val="auto"/>
          <w:lang w:val="en-US" w:eastAsia="zh-CN"/>
        </w:rPr>
      </w:pPr>
      <w:r>
        <w:rPr>
          <w:rFonts w:hint="default"/>
          <w:color w:val="auto"/>
          <w:lang w:val="en-US" w:eastAsia="zh-CN"/>
        </w:rPr>
        <w:t>进行施工安排时，应尽量避免夜间施工；如果必须夜间施工，应适当调整施工顺序或时间安排，夜间进行噪音小的施工作业；</w:t>
      </w:r>
    </w:p>
    <w:p w14:paraId="059BD348">
      <w:pPr>
        <w:rPr>
          <w:rFonts w:hint="default"/>
          <w:color w:val="auto"/>
          <w:lang w:val="en-US" w:eastAsia="zh-CN"/>
        </w:rPr>
      </w:pPr>
      <w:r>
        <w:rPr>
          <w:rFonts w:hint="default"/>
          <w:color w:val="auto"/>
          <w:lang w:val="en-US" w:eastAsia="zh-CN"/>
        </w:rPr>
        <w:t>对现场周边进行不间断噪声监测。</w:t>
      </w:r>
    </w:p>
    <w:p w14:paraId="189F875C">
      <w:pPr>
        <w:rPr>
          <w:rFonts w:hint="default"/>
          <w:color w:val="auto"/>
          <w:lang w:val="en-US" w:eastAsia="zh-CN"/>
        </w:rPr>
      </w:pPr>
      <w:r>
        <w:rPr>
          <w:rFonts w:hint="default"/>
          <w:color w:val="auto"/>
          <w:lang w:val="en-US" w:eastAsia="zh-CN"/>
        </w:rPr>
        <w:t>⑤吊装作业指挥应使用对讲机传达指令</w:t>
      </w:r>
    </w:p>
    <w:p w14:paraId="79C3D377">
      <w:pPr>
        <w:rPr>
          <w:rFonts w:hint="default"/>
          <w:color w:val="auto"/>
          <w:lang w:val="en-US" w:eastAsia="zh-CN"/>
        </w:rPr>
      </w:pPr>
      <w:r>
        <w:rPr>
          <w:rFonts w:hint="default"/>
          <w:color w:val="auto"/>
          <w:lang w:val="en-US" w:eastAsia="zh-CN"/>
        </w:rPr>
        <w:t>对现场塔吊、吊车操作人员及指挥人员配备对讲机来传达指令。</w:t>
      </w:r>
    </w:p>
    <w:p w14:paraId="4FE9950D">
      <w:pPr>
        <w:rPr>
          <w:rFonts w:hint="default"/>
          <w:color w:val="auto"/>
          <w:lang w:val="en-US" w:eastAsia="zh-CN"/>
        </w:rPr>
      </w:pPr>
      <w:r>
        <w:rPr>
          <w:rFonts w:hint="default"/>
          <w:color w:val="auto"/>
          <w:lang w:val="en-US" w:eastAsia="zh-CN"/>
        </w:rPr>
        <w:t>（9）施工现场应设置连续、密闭能有效隔绝各类污染的围挡</w:t>
      </w:r>
    </w:p>
    <w:p w14:paraId="105CACAA">
      <w:pPr>
        <w:rPr>
          <w:rFonts w:hint="default"/>
          <w:color w:val="auto"/>
          <w:lang w:val="en-US" w:eastAsia="zh-CN"/>
        </w:rPr>
      </w:pPr>
      <w:r>
        <w:rPr>
          <w:rFonts w:hint="default"/>
          <w:color w:val="auto"/>
          <w:lang w:val="en-US" w:eastAsia="zh-CN"/>
        </w:rPr>
        <w:t>措施</w:t>
      </w:r>
      <w:r>
        <w:rPr>
          <w:rFonts w:hint="default"/>
          <w:color w:val="auto"/>
          <w:lang w:val="en-US" w:eastAsia="zh-CN"/>
        </w:rPr>
        <w:tab/>
      </w:r>
      <w:r>
        <w:rPr>
          <w:rFonts w:hint="default"/>
          <w:color w:val="auto"/>
          <w:lang w:val="en-US" w:eastAsia="zh-CN"/>
        </w:rPr>
        <w:t>现场可采用砖砌、装配式围挡或广告牌作为围挡，临街侧设置密目安全网进行隔声。</w:t>
      </w:r>
    </w:p>
    <w:p w14:paraId="67B8C460">
      <w:pPr>
        <w:rPr>
          <w:rFonts w:hint="default"/>
          <w:color w:val="auto"/>
          <w:lang w:val="en-US" w:eastAsia="zh-CN"/>
        </w:rPr>
      </w:pPr>
      <w:r>
        <w:rPr>
          <w:rFonts w:hint="default"/>
          <w:color w:val="auto"/>
          <w:lang w:val="en-US" w:eastAsia="zh-CN"/>
        </w:rPr>
        <w:t>（10）施工中，开挖土方应合理回填利用</w:t>
      </w:r>
    </w:p>
    <w:p w14:paraId="42939635">
      <w:pPr>
        <w:rPr>
          <w:rFonts w:hint="default"/>
          <w:color w:val="auto"/>
          <w:lang w:val="en-US" w:eastAsia="zh-CN"/>
        </w:rPr>
      </w:pPr>
      <w:r>
        <w:rPr>
          <w:rFonts w:hint="default"/>
          <w:color w:val="auto"/>
          <w:lang w:val="en-US" w:eastAsia="zh-CN"/>
        </w:rPr>
        <w:t>①现场有场地的情况下，基坑开挖土方考虑现场堆放，后期土方回填使用现场堆土；</w:t>
      </w:r>
    </w:p>
    <w:p w14:paraId="4CAFFA49">
      <w:pPr>
        <w:rPr>
          <w:rFonts w:hint="default"/>
          <w:color w:val="auto"/>
          <w:lang w:val="en-US" w:eastAsia="zh-CN"/>
        </w:rPr>
      </w:pPr>
      <w:r>
        <w:rPr>
          <w:rFonts w:hint="default"/>
          <w:color w:val="auto"/>
          <w:lang w:val="en-US" w:eastAsia="zh-CN"/>
        </w:rPr>
        <w:t>②现场无场地堆放土方时，考虑场外制定场地卸土。如附近有其他公司正在土方回填施工，应转运至其他工地使用。</w:t>
      </w:r>
    </w:p>
    <w:p w14:paraId="2C20065E">
      <w:pPr>
        <w:rPr>
          <w:rFonts w:hint="default"/>
          <w:color w:val="auto"/>
          <w:lang w:val="en-US" w:eastAsia="zh-CN"/>
        </w:rPr>
      </w:pPr>
      <w:r>
        <w:rPr>
          <w:rFonts w:hint="default"/>
          <w:color w:val="auto"/>
          <w:lang w:val="en-US" w:eastAsia="zh-CN"/>
        </w:rPr>
        <w:t>4、优选项</w:t>
      </w:r>
    </w:p>
    <w:p w14:paraId="1B3722C7">
      <w:pPr>
        <w:rPr>
          <w:rFonts w:hint="default"/>
          <w:color w:val="auto"/>
          <w:lang w:val="en-US" w:eastAsia="zh-CN"/>
        </w:rPr>
      </w:pPr>
      <w:r>
        <w:rPr>
          <w:rFonts w:hint="default"/>
          <w:color w:val="auto"/>
          <w:lang w:val="en-US" w:eastAsia="zh-CN"/>
        </w:rPr>
        <w:t>（1）施工作业面应设置隔声设施</w:t>
      </w:r>
    </w:p>
    <w:p w14:paraId="5C1C6061">
      <w:pPr>
        <w:rPr>
          <w:rFonts w:hint="default"/>
          <w:color w:val="auto"/>
          <w:lang w:val="en-US" w:eastAsia="zh-CN"/>
        </w:rPr>
      </w:pPr>
      <w:r>
        <w:rPr>
          <w:rFonts w:hint="default"/>
          <w:color w:val="auto"/>
          <w:lang w:val="en-US" w:eastAsia="zh-CN"/>
        </w:rPr>
        <w:t>①模板、木枋加工车间采用封闭式板房；</w:t>
      </w:r>
    </w:p>
    <w:p w14:paraId="469861E5">
      <w:pPr>
        <w:rPr>
          <w:rFonts w:hint="default"/>
          <w:color w:val="auto"/>
          <w:lang w:val="en-US" w:eastAsia="zh-CN"/>
        </w:rPr>
      </w:pPr>
      <w:r>
        <w:rPr>
          <w:rFonts w:hint="default"/>
          <w:color w:val="auto"/>
          <w:lang w:val="en-US" w:eastAsia="zh-CN"/>
        </w:rPr>
        <w:t>②钢筋加工车间周边设置可移动隔音屏；</w:t>
      </w:r>
    </w:p>
    <w:p w14:paraId="6F241B06">
      <w:pPr>
        <w:rPr>
          <w:rFonts w:hint="default"/>
          <w:color w:val="auto"/>
          <w:lang w:val="en-US" w:eastAsia="zh-CN"/>
        </w:rPr>
      </w:pPr>
      <w:r>
        <w:rPr>
          <w:rFonts w:hint="default"/>
          <w:color w:val="auto"/>
          <w:lang w:val="en-US" w:eastAsia="zh-CN"/>
        </w:rPr>
        <w:t>③施工作业面安全网采用密目安全网。</w:t>
      </w:r>
    </w:p>
    <w:p w14:paraId="490D2BD6">
      <w:pPr>
        <w:rPr>
          <w:rFonts w:hint="default"/>
          <w:color w:val="auto"/>
          <w:lang w:val="en-US" w:eastAsia="zh-CN"/>
        </w:rPr>
      </w:pPr>
      <w:r>
        <w:rPr>
          <w:rFonts w:hint="default"/>
          <w:color w:val="auto"/>
          <w:lang w:val="en-US" w:eastAsia="zh-CN"/>
        </w:rPr>
        <w:t>（2）现场应设噪音监测点，并应实施动态监测</w:t>
      </w:r>
    </w:p>
    <w:p w14:paraId="3F5C33A7">
      <w:pPr>
        <w:rPr>
          <w:rFonts w:hint="default"/>
          <w:color w:val="auto"/>
          <w:lang w:val="en-US" w:eastAsia="zh-CN"/>
        </w:rPr>
      </w:pPr>
      <w:r>
        <w:rPr>
          <w:rFonts w:hint="default"/>
          <w:color w:val="auto"/>
          <w:lang w:val="en-US" w:eastAsia="zh-CN"/>
        </w:rPr>
        <w:t>①绘制噪音监测点平面布置图，应在主要噪音源设置，如钢筋加工车间、木工加工车间、混凝土输送泵作业点、邻近周边建筑、生活区位置等；</w:t>
      </w:r>
    </w:p>
    <w:p w14:paraId="73E1C544">
      <w:pPr>
        <w:rPr>
          <w:rFonts w:hint="default"/>
          <w:color w:val="auto"/>
          <w:lang w:val="en-US" w:eastAsia="zh-CN"/>
        </w:rPr>
      </w:pPr>
      <w:r>
        <w:rPr>
          <w:rFonts w:hint="default"/>
          <w:color w:val="auto"/>
          <w:lang w:val="en-US" w:eastAsia="zh-CN"/>
        </w:rPr>
        <w:t>②制定噪音监测方案，明确监测周期及噪音限制值，安排专人定时定点监测并记录；一旦发生噪音超出范围，则应采取措施。</w:t>
      </w:r>
    </w:p>
    <w:p w14:paraId="6CE5B2A9">
      <w:pPr>
        <w:rPr>
          <w:rFonts w:hint="default"/>
          <w:color w:val="auto"/>
          <w:lang w:val="en-US" w:eastAsia="zh-CN"/>
        </w:rPr>
      </w:pPr>
      <w:r>
        <w:rPr>
          <w:rFonts w:hint="default"/>
          <w:color w:val="auto"/>
          <w:lang w:val="en-US" w:eastAsia="zh-CN"/>
        </w:rPr>
        <w:t>（3）现场应有医务室，人员健康应急预案应完善</w:t>
      </w:r>
    </w:p>
    <w:p w14:paraId="44D64F1A">
      <w:pPr>
        <w:rPr>
          <w:rFonts w:hint="default"/>
          <w:color w:val="auto"/>
          <w:lang w:val="en-US" w:eastAsia="zh-CN"/>
        </w:rPr>
      </w:pPr>
      <w:r>
        <w:rPr>
          <w:rFonts w:hint="default"/>
          <w:color w:val="auto"/>
          <w:lang w:val="en-US" w:eastAsia="zh-CN"/>
        </w:rPr>
        <w:t>①现场设置医务室，配置医务人员（证件齐全）、自动检测设备、药品、急救箱、普通医疗设备等；</w:t>
      </w:r>
    </w:p>
    <w:p w14:paraId="27899E39">
      <w:pPr>
        <w:rPr>
          <w:rFonts w:hint="default"/>
          <w:color w:val="auto"/>
          <w:lang w:val="en-US" w:eastAsia="zh-CN"/>
        </w:rPr>
      </w:pPr>
      <w:r>
        <w:rPr>
          <w:rFonts w:hint="default"/>
          <w:color w:val="auto"/>
          <w:lang w:val="en-US" w:eastAsia="zh-CN"/>
        </w:rPr>
        <w:t>②制定人员健康应急预案、应急救援制度，并将应急流程悬挂墙上。</w:t>
      </w:r>
    </w:p>
    <w:p w14:paraId="738285D6">
      <w:pPr>
        <w:rPr>
          <w:rFonts w:hint="default"/>
          <w:color w:val="auto"/>
          <w:lang w:val="en-US" w:eastAsia="zh-CN"/>
        </w:rPr>
      </w:pPr>
      <w:r>
        <w:rPr>
          <w:rFonts w:hint="default"/>
          <w:color w:val="auto"/>
          <w:lang w:val="en-US" w:eastAsia="zh-CN"/>
        </w:rPr>
        <w:t>（4）施工应采取基坑封闭降水措施</w:t>
      </w:r>
    </w:p>
    <w:p w14:paraId="11963A56">
      <w:pPr>
        <w:rPr>
          <w:rFonts w:hint="default"/>
          <w:color w:val="auto"/>
          <w:lang w:val="en-US" w:eastAsia="zh-CN"/>
        </w:rPr>
      </w:pPr>
      <w:r>
        <w:rPr>
          <w:rFonts w:hint="default"/>
          <w:color w:val="auto"/>
          <w:lang w:val="en-US" w:eastAsia="zh-CN"/>
        </w:rPr>
        <w:t>设集水坑、排水沟等措施进行降水和排水。</w:t>
      </w:r>
    </w:p>
    <w:p w14:paraId="31340310">
      <w:pPr>
        <w:rPr>
          <w:rFonts w:hint="default"/>
          <w:color w:val="auto"/>
          <w:lang w:val="en-US" w:eastAsia="zh-CN"/>
        </w:rPr>
      </w:pPr>
      <w:r>
        <w:rPr>
          <w:rFonts w:hint="default"/>
          <w:color w:val="auto"/>
          <w:lang w:val="en-US" w:eastAsia="zh-CN"/>
        </w:rPr>
        <w:t>（5）建筑垃圾回收利用率应达到50%</w:t>
      </w:r>
    </w:p>
    <w:p w14:paraId="0FBA8202">
      <w:pPr>
        <w:rPr>
          <w:rFonts w:hint="default"/>
          <w:color w:val="auto"/>
          <w:lang w:val="en-US" w:eastAsia="zh-CN"/>
        </w:rPr>
      </w:pPr>
      <w:r>
        <w:rPr>
          <w:rFonts w:hint="default"/>
          <w:color w:val="auto"/>
          <w:lang w:val="en-US" w:eastAsia="zh-CN"/>
        </w:rPr>
        <w:t>①建筑垃圾应分类堆放，在楼层、现场摆放标识牌，对可回收利用的应安排人员清理出来重复使用；如大块旧模板、2m以上木枋等；</w:t>
      </w:r>
    </w:p>
    <w:p w14:paraId="7878A3BA">
      <w:pPr>
        <w:rPr>
          <w:rFonts w:hint="default"/>
          <w:color w:val="auto"/>
          <w:lang w:val="en-US" w:eastAsia="zh-CN"/>
        </w:rPr>
      </w:pPr>
      <w:r>
        <w:rPr>
          <w:rFonts w:hint="default"/>
          <w:color w:val="auto"/>
          <w:lang w:val="en-US" w:eastAsia="zh-CN"/>
        </w:rPr>
        <w:t>②每月记录建筑垃圾回收利用量并计算相应数据。</w:t>
      </w:r>
    </w:p>
    <w:p w14:paraId="55113873">
      <w:pPr>
        <w:rPr>
          <w:rFonts w:hint="default"/>
          <w:color w:val="auto"/>
          <w:lang w:val="en-US" w:eastAsia="zh-CN"/>
        </w:rPr>
      </w:pPr>
      <w:r>
        <w:rPr>
          <w:rFonts w:hint="default"/>
          <w:color w:val="auto"/>
          <w:lang w:val="en-US" w:eastAsia="zh-CN"/>
        </w:rPr>
        <w:t>（6）工程污水应采取去泥沙、除油污、分解有机物、沉淀过滤、酸碱中和等处理方式，实现达标排放。</w:t>
      </w:r>
    </w:p>
    <w:p w14:paraId="1A6220CC">
      <w:pPr>
        <w:rPr>
          <w:rFonts w:hint="default"/>
          <w:color w:val="auto"/>
          <w:lang w:val="en-US" w:eastAsia="zh-CN"/>
        </w:rPr>
      </w:pPr>
      <w:r>
        <w:rPr>
          <w:rFonts w:hint="default"/>
          <w:color w:val="auto"/>
          <w:lang w:val="en-US" w:eastAsia="zh-CN"/>
        </w:rPr>
        <w:t>设置三级沉淀池，经沉淀处理后进行重复利用或排入市政管网。</w:t>
      </w:r>
    </w:p>
    <w:p w14:paraId="770414AE">
      <w:pPr>
        <w:pStyle w:val="7"/>
        <w:rPr>
          <w:rFonts w:hint="eastAsia"/>
          <w:color w:val="auto"/>
        </w:rPr>
      </w:pPr>
      <w:bookmarkStart w:id="52" w:name="_Toc2323"/>
      <w:r>
        <w:rPr>
          <w:rFonts w:hint="eastAsia"/>
          <w:color w:val="auto"/>
        </w:rPr>
        <w:t>扬尘控制</w:t>
      </w:r>
      <w:bookmarkEnd w:id="52"/>
    </w:p>
    <w:p w14:paraId="578FDBCF">
      <w:pPr>
        <w:pStyle w:val="8"/>
        <w:rPr>
          <w:rFonts w:hint="eastAsia"/>
          <w:color w:val="auto"/>
        </w:rPr>
      </w:pPr>
      <w:r>
        <w:rPr>
          <w:rFonts w:hint="eastAsia"/>
          <w:color w:val="auto"/>
        </w:rPr>
        <w:t>工地路面100%硬化</w:t>
      </w:r>
    </w:p>
    <w:p w14:paraId="2AD826E0">
      <w:pPr>
        <w:ind w:firstLine="480"/>
        <w:rPr>
          <w:rFonts w:hint="eastAsia" w:ascii="宋体" w:hAnsi="宋体"/>
          <w:color w:val="auto"/>
        </w:rPr>
      </w:pPr>
      <w:r>
        <w:rPr>
          <w:rFonts w:hint="eastAsia" w:ascii="宋体" w:hAnsi="宋体"/>
          <w:color w:val="auto"/>
        </w:rPr>
        <w:t>1、施工现场大门内外通道、临时设施室内地面、材料堆放场、钢筋加工场、仓库地面等区域，浇筑厚度20厘米， 强度C15的混凝土进行硬底化，机动车通道的宽度不小于3.5米。</w:t>
      </w:r>
    </w:p>
    <w:p w14:paraId="48D4FB52">
      <w:pPr>
        <w:ind w:firstLine="480"/>
        <w:rPr>
          <w:rFonts w:hint="eastAsia" w:ascii="宋体" w:hAnsi="宋体"/>
          <w:color w:val="auto"/>
        </w:rPr>
      </w:pPr>
      <w:r>
        <w:rPr>
          <w:rFonts w:hint="eastAsia" w:ascii="宋体" w:hAnsi="宋体"/>
          <w:color w:val="auto"/>
        </w:rPr>
        <w:t>2、工地内采用可重复使用的预制混凝土构件或钢板铺设技术，进行全面硬底化处理。</w:t>
      </w:r>
    </w:p>
    <w:p w14:paraId="597D72C9">
      <w:pPr>
        <w:ind w:firstLine="480"/>
        <w:rPr>
          <w:rFonts w:hint="eastAsia" w:ascii="宋体" w:hAnsi="宋体"/>
          <w:color w:val="auto"/>
        </w:rPr>
      </w:pPr>
      <w:r>
        <w:rPr>
          <w:rFonts w:hint="eastAsia" w:ascii="宋体" w:hAnsi="宋体"/>
          <w:color w:val="auto"/>
        </w:rPr>
        <w:t>3、生活服务区范围内，严格按照建筑工地文明施工管理的相关规定，全面采取地面硬化措施，并加强洒水，降低扬尘。</w:t>
      </w:r>
    </w:p>
    <w:p w14:paraId="20A5966D">
      <w:pPr>
        <w:ind w:firstLine="480"/>
        <w:rPr>
          <w:rFonts w:hint="eastAsia" w:ascii="宋体" w:hAnsi="宋体"/>
          <w:color w:val="auto"/>
        </w:rPr>
      </w:pPr>
      <w:r>
        <w:rPr>
          <w:rFonts w:hint="eastAsia" w:ascii="宋体" w:hAnsi="宋体"/>
          <w:color w:val="auto"/>
        </w:rPr>
        <w:t>4、行车范围的施工作业面（含天然地基、路基、基坑面、 边坡、施工作业便道等）。施工工地在基坑开挖阶段，施工便道及时铺填碎石、钢板或其它材料，防止扬尘，施工到±0.00时, 施工道路实现硬底化。当施工现场具备条件实行水泥混凝土硬地化条件的，尽量采用地面硬化措施。</w:t>
      </w:r>
    </w:p>
    <w:p w14:paraId="0A32DFBB">
      <w:pPr>
        <w:pStyle w:val="8"/>
        <w:rPr>
          <w:rFonts w:hint="eastAsia"/>
          <w:color w:val="auto"/>
        </w:rPr>
      </w:pPr>
      <w:r>
        <w:rPr>
          <w:rFonts w:hint="eastAsia"/>
          <w:color w:val="auto"/>
        </w:rPr>
        <w:t>工地砂土、物料100%覆盖</w:t>
      </w:r>
    </w:p>
    <w:p w14:paraId="73974DFF">
      <w:pPr>
        <w:ind w:firstLine="480"/>
        <w:rPr>
          <w:rFonts w:hint="eastAsia" w:ascii="宋体" w:hAnsi="宋体"/>
          <w:color w:val="auto"/>
        </w:rPr>
      </w:pPr>
      <w:r>
        <w:rPr>
          <w:rFonts w:hint="eastAsia" w:ascii="宋体" w:hAnsi="宋体"/>
          <w:color w:val="auto"/>
        </w:rPr>
        <w:t>1、工程渣土、建筑垃圾应当集中分类堆放，严密覆盖，在施工工地内设置封闭式垃圾站，严禁高空抛洒；非施工作业面的裸露土或临时存放的土堆闲置3个月内的，应该进行覆盖、压 实、洒水等压尘措施。</w:t>
      </w:r>
    </w:p>
    <w:p w14:paraId="2447AAAD">
      <w:pPr>
        <w:ind w:firstLine="480"/>
        <w:rPr>
          <w:rFonts w:hint="eastAsia" w:ascii="宋体" w:hAnsi="宋体"/>
          <w:color w:val="auto"/>
        </w:rPr>
      </w:pPr>
      <w:r>
        <w:rPr>
          <w:rFonts w:hint="eastAsia" w:ascii="宋体" w:hAnsi="宋体"/>
          <w:color w:val="auto"/>
        </w:rPr>
        <w:t>2、弃土、弃料以及其它建筑垃圾的临时覆盖可用编织布或者密布网。</w:t>
      </w:r>
    </w:p>
    <w:p w14:paraId="345C8F0E">
      <w:pPr>
        <w:ind w:firstLine="480"/>
        <w:rPr>
          <w:rFonts w:hint="eastAsia" w:ascii="宋体" w:hAnsi="宋体"/>
          <w:color w:val="auto"/>
        </w:rPr>
      </w:pPr>
      <w:r>
        <w:rPr>
          <w:rFonts w:hint="eastAsia" w:ascii="宋体" w:hAnsi="宋体"/>
          <w:color w:val="auto"/>
        </w:rPr>
        <w:t>3、建筑土方开挖后应当尽快回填，不能及时回填的应当釆取覆盖或者固化等措施。</w:t>
      </w:r>
    </w:p>
    <w:p w14:paraId="7CFC7581">
      <w:pPr>
        <w:ind w:firstLine="480"/>
        <w:rPr>
          <w:rFonts w:hint="eastAsia" w:ascii="宋体" w:hAnsi="宋体"/>
          <w:color w:val="auto"/>
        </w:rPr>
      </w:pPr>
      <w:r>
        <w:rPr>
          <w:rFonts w:hint="eastAsia" w:ascii="宋体" w:hAnsi="宋体"/>
          <w:color w:val="auto"/>
        </w:rPr>
        <w:t>4、对裸露的砂土可采用密布网进行覆盖或料斗封闭。</w:t>
      </w:r>
    </w:p>
    <w:p w14:paraId="17B2BD40">
      <w:pPr>
        <w:pStyle w:val="8"/>
        <w:rPr>
          <w:rFonts w:hint="eastAsia"/>
          <w:color w:val="auto"/>
        </w:rPr>
      </w:pPr>
      <w:r>
        <w:rPr>
          <w:rFonts w:hint="eastAsia"/>
          <w:color w:val="auto"/>
        </w:rPr>
        <w:t>施工作业100%洒水（拆除工程100%洒水降尘）</w:t>
      </w:r>
    </w:p>
    <w:p w14:paraId="3472B0A5">
      <w:pPr>
        <w:ind w:firstLine="480"/>
        <w:rPr>
          <w:rFonts w:hint="eastAsia" w:ascii="宋体" w:hAnsi="宋体"/>
          <w:color w:val="auto"/>
        </w:rPr>
      </w:pPr>
      <w:r>
        <w:rPr>
          <w:rFonts w:hint="eastAsia" w:ascii="宋体" w:hAnsi="宋体"/>
          <w:color w:val="auto"/>
        </w:rPr>
        <w:t>1、拆除工程必须采取喷水降尘措施，气象预报风速达到5 级时，应当停止拆除工程施工。渣土要及时清运或者覆盖，在拆 除施工完成之日起3曰内清运完毕，并应遵守拆除工程管理的相 关规定。</w:t>
      </w:r>
    </w:p>
    <w:p w14:paraId="6347D8F5">
      <w:pPr>
        <w:ind w:firstLine="480"/>
        <w:rPr>
          <w:rFonts w:hint="eastAsia" w:ascii="宋体" w:hAnsi="宋体"/>
          <w:color w:val="auto"/>
        </w:rPr>
      </w:pPr>
      <w:r>
        <w:rPr>
          <w:rFonts w:hint="eastAsia" w:ascii="宋体" w:hAnsi="宋体"/>
          <w:color w:val="auto"/>
        </w:rPr>
        <w:t>2、喷淋系统设置</w:t>
      </w:r>
    </w:p>
    <w:p w14:paraId="131DED1A">
      <w:pPr>
        <w:ind w:firstLine="480"/>
        <w:rPr>
          <w:rFonts w:hint="eastAsia" w:ascii="宋体" w:hAnsi="宋体"/>
          <w:color w:val="auto"/>
        </w:rPr>
      </w:pPr>
      <w:r>
        <w:rPr>
          <w:rFonts w:hint="eastAsia" w:ascii="宋体" w:hAnsi="宋体"/>
          <w:color w:val="auto"/>
        </w:rPr>
        <w:t>（1）设置部位：工地围墙上方；在基础施工及土方阶段的基坑 周边；涉及基坑开挖施工的，在每道混凝土支撑上设置喷淋系统；房屋建筑主体阶段的外排栅、爬升脚手架；塔吊等易产生扬 尘的部位应设置喷淋系统；施工现场主要道路等部位或者施工作业阶段应当采取喷雾、喷淋或者洒水等扬尘污染防治措施。</w:t>
      </w:r>
    </w:p>
    <w:p w14:paraId="2AE6E6BF">
      <w:pPr>
        <w:ind w:firstLine="480"/>
        <w:rPr>
          <w:rFonts w:hint="eastAsia" w:ascii="宋体" w:hAnsi="宋体"/>
          <w:color w:val="auto"/>
        </w:rPr>
      </w:pPr>
      <w:r>
        <w:rPr>
          <w:rFonts w:hint="eastAsia" w:ascii="宋体" w:hAnsi="宋体"/>
          <w:color w:val="auto"/>
        </w:rPr>
        <w:t>（2）喷淋系统设置要求：有土方作业的基坑布设间距1.5米， 喷头大小4厘米，布设范围围绕基坑一圈；有外排栅结构，喷淋 系统以间距3米，喷头大小4厘米一圈设置，原则第一道设置在 15-20米，然后每隔25米设置一道；工地围墙外围、施工现场主要道路间距3米，喷头大小4厘米一圈设置；其它易产生扬尘的施工作业根据扬尘污染程度设置相应的喷雾设备或者洒水降尘。</w:t>
      </w:r>
    </w:p>
    <w:p w14:paraId="1478FBDB">
      <w:pPr>
        <w:ind w:firstLine="480"/>
        <w:rPr>
          <w:rFonts w:hint="eastAsia" w:ascii="宋体" w:hAnsi="宋体"/>
          <w:color w:val="auto"/>
        </w:rPr>
      </w:pPr>
      <w:r>
        <w:rPr>
          <w:rFonts w:hint="eastAsia" w:ascii="宋体" w:hAnsi="宋体"/>
          <w:color w:val="auto"/>
        </w:rPr>
        <w:t>（3）开启喷淋系统或者洒水降尘的时间安排。根据施工现场扬尘情况，每天安排洒水不少于4次，洒水沿施工道路进行，早上 7:30-8:00,中午 11: 00-12: 00,下午 14: 30-15: 00</w:t>
      </w:r>
      <w:r>
        <w:rPr>
          <w:rFonts w:hint="eastAsia" w:ascii="宋体" w:hAnsi="宋体"/>
          <w:color w:val="auto"/>
        </w:rPr>
        <w:tab/>
      </w:r>
      <w:r>
        <w:rPr>
          <w:rFonts w:hint="eastAsia" w:ascii="宋体" w:hAnsi="宋体"/>
          <w:color w:val="auto"/>
        </w:rPr>
        <w:t>17: 30-18: 00 各一次；扬尘较多、遇重污染天气时以及每年10月至次年2月应安排6次以上；开启喷淋系统按此时间进行，每次持续1小时以 上，对于基坑开挖或者拆除工程等易产生扬尘的作业，必须全时开启喷淋系统和雾炮设备；场内道路车辆流量每30分钟高于4架次的路面，维持整段路面湿润。</w:t>
      </w:r>
    </w:p>
    <w:p w14:paraId="32129F74">
      <w:pPr>
        <w:ind w:firstLine="480"/>
        <w:rPr>
          <w:rFonts w:hint="eastAsia" w:ascii="宋体" w:hAnsi="宋体"/>
          <w:color w:val="auto"/>
        </w:rPr>
      </w:pPr>
      <w:r>
        <w:rPr>
          <w:rFonts w:hint="eastAsia" w:ascii="宋体" w:hAnsi="宋体"/>
          <w:color w:val="auto"/>
        </w:rPr>
        <w:t>（4）责任落实。每天洒水和开启喷淋系统、喷雾设备要安排专人负责，设立专门的登记本，责任人负责登记并签名。</w:t>
      </w:r>
    </w:p>
    <w:p w14:paraId="7D3C5822">
      <w:pPr>
        <w:pStyle w:val="8"/>
        <w:rPr>
          <w:rFonts w:hint="eastAsia"/>
          <w:color w:val="auto"/>
        </w:rPr>
      </w:pPr>
      <w:r>
        <w:rPr>
          <w:rFonts w:hint="eastAsia"/>
          <w:color w:val="auto"/>
        </w:rPr>
        <w:t>雾炮设备设置</w:t>
      </w:r>
    </w:p>
    <w:p w14:paraId="06F9F0D0">
      <w:pPr>
        <w:ind w:firstLine="480"/>
        <w:rPr>
          <w:rFonts w:hint="eastAsia" w:ascii="宋体" w:hAnsi="宋体"/>
          <w:color w:val="auto"/>
        </w:rPr>
      </w:pPr>
      <w:r>
        <w:rPr>
          <w:rFonts w:hint="eastAsia" w:ascii="宋体" w:hAnsi="宋体"/>
          <w:color w:val="auto"/>
        </w:rPr>
        <w:t>土方阶段在基坑周边按照30-50米间隔 加设雾炮设备1台。扬尘达标要求：土方作业阶段，达到作业区 目测扬尘高度小于1. 5米，不扩散到场区外；结构施工、安装装 饰装修阶段，作业区目测扬尘高度小于0. 5米；施工现场非作业 区达到目测无扬尘的要求。超过此标准的，则安排开启雾炮设备和喷淋系统。</w:t>
      </w:r>
    </w:p>
    <w:p w14:paraId="7CA90B2F">
      <w:pPr>
        <w:pStyle w:val="8"/>
        <w:rPr>
          <w:rFonts w:hint="eastAsia"/>
          <w:color w:val="auto"/>
        </w:rPr>
      </w:pPr>
      <w:r>
        <w:rPr>
          <w:rFonts w:hint="eastAsia"/>
          <w:color w:val="auto"/>
        </w:rPr>
        <w:t>空气质量监测设备</w:t>
      </w:r>
    </w:p>
    <w:p w14:paraId="650A33CB">
      <w:pPr>
        <w:ind w:firstLine="480"/>
        <w:rPr>
          <w:rFonts w:hint="eastAsia" w:ascii="宋体" w:hAnsi="宋体"/>
          <w:color w:val="auto"/>
        </w:rPr>
      </w:pPr>
      <w:r>
        <w:rPr>
          <w:rFonts w:hint="eastAsia" w:ascii="宋体" w:hAnsi="宋体"/>
          <w:color w:val="auto"/>
        </w:rPr>
        <w:t>施工现场安装空气质量监测设备，如PM2. 5监测仪, 有条件的可与主管部门监控系统联网，并上传监测数据至市扬尘监管平台。监测设备小时PM10浓度超过200微克/立方米或PM2.5浓度超过1QQ微克/立方米时，应开启雾炮设 备和喷淋系统。</w:t>
      </w:r>
    </w:p>
    <w:p w14:paraId="1E6D70CF">
      <w:pPr>
        <w:pStyle w:val="8"/>
        <w:rPr>
          <w:rFonts w:hint="eastAsia"/>
          <w:color w:val="auto"/>
        </w:rPr>
      </w:pPr>
      <w:r>
        <w:rPr>
          <w:rFonts w:hint="eastAsia"/>
          <w:color w:val="auto"/>
        </w:rPr>
        <w:t>出工地车辆100%冲净车轮车身</w:t>
      </w:r>
    </w:p>
    <w:p w14:paraId="1E8DBCD3">
      <w:pPr>
        <w:ind w:firstLine="480"/>
        <w:rPr>
          <w:rFonts w:hint="eastAsia" w:ascii="宋体" w:hAnsi="宋体"/>
          <w:color w:val="auto"/>
        </w:rPr>
      </w:pPr>
      <w:r>
        <w:rPr>
          <w:rFonts w:hint="eastAsia" w:ascii="宋体" w:hAnsi="宋体"/>
          <w:color w:val="auto"/>
        </w:rPr>
        <w:t>1、工地出入口应当安排专人进行车辆清洗和登记，进出工地的运输车辆的轮胎和车身外表应当完全冲洗干净后，方可进出工地。车辆冲洗干净标准：进出工地的运输车辆的轮胎和车身外 表应当完全除泥，确保车辆驶出工地时无尘土飞扬。</w:t>
      </w:r>
    </w:p>
    <w:p w14:paraId="0518935A">
      <w:pPr>
        <w:ind w:firstLine="480"/>
        <w:rPr>
          <w:rFonts w:hint="eastAsia" w:ascii="宋体" w:hAnsi="宋体"/>
          <w:color w:val="auto"/>
        </w:rPr>
      </w:pPr>
      <w:r>
        <w:rPr>
          <w:rFonts w:hint="eastAsia" w:ascii="宋体" w:hAnsi="宋体"/>
          <w:color w:val="auto"/>
        </w:rPr>
        <w:t>建立土方车管理台帐，详细记录车辆证照信息、进出场信息、冲洗情况、密闭情况等。每次车辆清洗要登记进出工地车辆的车牌号码、驾驶员姓名、进出工地时间等信息，车辆冲洗完后 驾驶员和冲洗人要签名。</w:t>
      </w:r>
    </w:p>
    <w:p w14:paraId="5D70D5B0">
      <w:pPr>
        <w:ind w:firstLine="480"/>
        <w:rPr>
          <w:rFonts w:hint="eastAsia" w:ascii="宋体" w:hAnsi="宋体"/>
          <w:color w:val="auto"/>
        </w:rPr>
      </w:pPr>
      <w:r>
        <w:rPr>
          <w:rFonts w:hint="eastAsia" w:ascii="宋体" w:hAnsi="宋体"/>
          <w:color w:val="auto"/>
        </w:rPr>
        <w:t>2、工地在佘泥运输阶段，施工单位要安排配备专职建筑废弃 物运输管理人员，负责检查佘泥装载和“一不准进、三不准出”（“一不准进”是指无《三亚市建筑垃圾准运证》的车辆坚决不准 进入建筑工地；“三不准出”是指超载、无遮盖、未冲洗干净车轮 和车身的车辆，坚决不准驶出工地）等相关制度的落实。</w:t>
      </w:r>
    </w:p>
    <w:p w14:paraId="66E587E0">
      <w:pPr>
        <w:ind w:firstLine="480"/>
        <w:rPr>
          <w:rFonts w:hint="eastAsia" w:ascii="宋体" w:hAnsi="宋体"/>
          <w:color w:val="auto"/>
        </w:rPr>
      </w:pPr>
      <w:r>
        <w:rPr>
          <w:rFonts w:hint="eastAsia" w:ascii="宋体" w:hAnsi="宋体"/>
          <w:color w:val="auto"/>
        </w:rPr>
        <w:t>3、运输建筑佘泥的车辆必须采取措施完全封闭严密且平装，保证车辆清洁。土方装载高度不能超过运输车辆侧壁标准高度；车辆钢盖板必须与车底平行，无倾斜角度；车身及车轮无散落土方；车辆洗车后驶出施工现场大门时车身无泥水滴落。</w:t>
      </w:r>
    </w:p>
    <w:p w14:paraId="07CC7C4C">
      <w:pPr>
        <w:pStyle w:val="8"/>
        <w:rPr>
          <w:rFonts w:hint="eastAsia"/>
          <w:color w:val="auto"/>
        </w:rPr>
      </w:pPr>
      <w:r>
        <w:rPr>
          <w:rFonts w:hint="eastAsia"/>
          <w:color w:val="auto"/>
        </w:rPr>
        <w:t>洗车槽设置要求</w:t>
      </w:r>
    </w:p>
    <w:p w14:paraId="68BC714F">
      <w:pPr>
        <w:ind w:firstLine="480"/>
        <w:rPr>
          <w:rFonts w:hint="eastAsia" w:ascii="宋体" w:hAnsi="宋体"/>
          <w:color w:val="auto"/>
        </w:rPr>
      </w:pPr>
      <w:r>
        <w:rPr>
          <w:rFonts w:hint="eastAsia" w:ascii="宋体" w:hAnsi="宋体"/>
          <w:color w:val="auto"/>
        </w:rPr>
        <w:t>工地内车辆出入口内侧应当设置用混凝土浇筑的由宽30厘米、深40厘米沟槽围成宽3米、长5米的 矩形洗车场设施；车辆冲洗设施按要求配套排水、泥浆沉淀设施; 现场机具、设备、车辆冲洗用水必须设立循环用水装置，并安排专人管理。</w:t>
      </w:r>
    </w:p>
    <w:p w14:paraId="000F7089">
      <w:pPr>
        <w:pStyle w:val="8"/>
        <w:rPr>
          <w:rFonts w:hint="eastAsia"/>
          <w:color w:val="auto"/>
        </w:rPr>
      </w:pPr>
      <w:r>
        <w:rPr>
          <w:rFonts w:hint="eastAsia"/>
          <w:color w:val="auto"/>
        </w:rPr>
        <w:t>车辆冲洗设施的配备标准</w:t>
      </w:r>
    </w:p>
    <w:p w14:paraId="71DDB4C6">
      <w:pPr>
        <w:ind w:firstLine="480"/>
        <w:rPr>
          <w:rFonts w:hint="eastAsia" w:ascii="宋体" w:hAnsi="宋体"/>
          <w:color w:val="auto"/>
        </w:rPr>
      </w:pPr>
      <w:r>
        <w:rPr>
          <w:rFonts w:hint="eastAsia" w:ascii="宋体" w:hAnsi="宋体"/>
          <w:color w:val="auto"/>
        </w:rPr>
        <w:t>应配备高压冲洗水枪或者安装自动洗车装置；不具备设置洗车设施的市政、管线工程，经所 在工程的监管部门同意后，施工单位应采用移动式冲水设备冲洗 工地车辆，并安排工人保洁。</w:t>
      </w:r>
    </w:p>
    <w:p w14:paraId="773D5C06">
      <w:pPr>
        <w:pStyle w:val="8"/>
        <w:rPr>
          <w:rFonts w:hint="eastAsia"/>
          <w:color w:val="auto"/>
        </w:rPr>
      </w:pPr>
      <w:r>
        <w:rPr>
          <w:rFonts w:hint="eastAsia"/>
          <w:color w:val="auto"/>
        </w:rPr>
        <w:t>建筑废弃物装载要求</w:t>
      </w:r>
    </w:p>
    <w:p w14:paraId="4DE57990">
      <w:pPr>
        <w:ind w:firstLine="480"/>
        <w:rPr>
          <w:rFonts w:hint="eastAsia" w:ascii="宋体" w:hAnsi="宋体"/>
          <w:color w:val="auto"/>
        </w:rPr>
      </w:pPr>
      <w:r>
        <w:rPr>
          <w:rFonts w:hint="eastAsia" w:ascii="宋体" w:hAnsi="宋体"/>
          <w:color w:val="auto"/>
        </w:rPr>
        <w:t>驶出工地的渣土和粉状物料运输车辆应该平装，不能高于车厢围栏且遮盖率达到100%。施工现 场泥头车或建筑材料（沙、石粉或佘泥）运输车辆，车箱禁止用 帆布或安全网覆盖，一律釆用两旁带自动挡板的车箱，并做到全 密封，防止建筑材料、垃圾和工程渣土飞扬、洒落、泄漏等。</w:t>
      </w:r>
    </w:p>
    <w:p w14:paraId="5A1831EB">
      <w:pPr>
        <w:pStyle w:val="8"/>
        <w:rPr>
          <w:rFonts w:hint="eastAsia"/>
          <w:color w:val="auto"/>
        </w:rPr>
      </w:pPr>
      <w:r>
        <w:rPr>
          <w:rFonts w:hint="eastAsia"/>
          <w:color w:val="auto"/>
        </w:rPr>
        <w:t>全面安装视频监控设备</w:t>
      </w:r>
    </w:p>
    <w:p w14:paraId="6F2AACEC">
      <w:pPr>
        <w:ind w:firstLine="480"/>
        <w:rPr>
          <w:rFonts w:hint="eastAsia" w:ascii="宋体" w:hAnsi="宋体"/>
          <w:color w:val="auto"/>
        </w:rPr>
      </w:pPr>
      <w:r>
        <w:rPr>
          <w:rFonts w:hint="eastAsia" w:ascii="宋体" w:hAnsi="宋体"/>
          <w:color w:val="auto"/>
        </w:rPr>
        <w:t>工程开工时，项目施工现场出入口须安装视频监控设备，并确保能清晰监控车辆出场冲洗情况及运输车辆车牌号码； 项目土方作业期间，必须在土方作业区域周边安装视频监控设备, 视频监控录像现场存储时间不少于30天。</w:t>
      </w:r>
    </w:p>
    <w:p w14:paraId="65524064">
      <w:pPr>
        <w:pStyle w:val="8"/>
        <w:rPr>
          <w:rFonts w:hint="eastAsia"/>
          <w:color w:val="auto"/>
        </w:rPr>
      </w:pPr>
      <w:r>
        <w:rPr>
          <w:rFonts w:hint="eastAsia"/>
          <w:color w:val="auto"/>
        </w:rPr>
        <w:t>裸土100%覆盖或绿化</w:t>
      </w:r>
    </w:p>
    <w:p w14:paraId="26A98B4F">
      <w:pPr>
        <w:ind w:firstLine="480"/>
        <w:rPr>
          <w:rFonts w:hint="eastAsia" w:ascii="宋体" w:hAnsi="宋体"/>
          <w:color w:val="auto"/>
        </w:rPr>
      </w:pPr>
      <w:r>
        <w:rPr>
          <w:rFonts w:hint="eastAsia" w:ascii="宋体" w:hAnsi="宋体"/>
          <w:color w:val="auto"/>
        </w:rPr>
        <w:t>1、施工现场内裸露3个月以上的土地，应当釆取绿化措施裸露3个月以下的土地，应当采取覆盖、压实、洒水等压尘措施。</w:t>
      </w:r>
    </w:p>
    <w:p w14:paraId="064DCCB3">
      <w:pPr>
        <w:ind w:firstLine="480"/>
        <w:rPr>
          <w:rFonts w:hint="eastAsia" w:ascii="宋体" w:hAnsi="宋体"/>
          <w:color w:val="auto"/>
        </w:rPr>
      </w:pPr>
      <w:r>
        <w:rPr>
          <w:rFonts w:hint="eastAsia" w:ascii="宋体" w:hAnsi="宋体"/>
          <w:color w:val="auto"/>
        </w:rPr>
        <w:t>2、需要堆放3个月以上的渣土、堆土等应覆盖遮阴网，喷水保湿、培育自然植被；或者种植成本不高、覆盖性强、生长较 快的草本植物，实行临时绿化。短期内不能按规划实施的空间规划绿地，可采取生态喷播的办法试行临时绿化。施工工地裸露土 地绿化率不少于95°。</w:t>
      </w:r>
    </w:p>
    <w:p w14:paraId="12CD0E85">
      <w:pPr>
        <w:ind w:firstLine="480"/>
        <w:rPr>
          <w:rFonts w:ascii="宋体" w:hAnsi="宋体"/>
          <w:color w:val="auto"/>
        </w:rPr>
      </w:pPr>
      <w:r>
        <w:rPr>
          <w:rFonts w:hint="eastAsia" w:ascii="宋体" w:hAnsi="宋体"/>
          <w:color w:val="auto"/>
        </w:rPr>
        <w:t>3、对土堆的边缘应适当垒砌砖石加以围挡处理，土堆应全面覆盖遮阴网，经常喷水，防止扬尘。进行草种、花卉播种， 应使植物种子与表层土壤结合密切，然后喷水保湿，勤于养护，直至植物正常生长达到覆盖目的。施工工地堆土场宜设置简易喷灌设施，适时喷水保湿。</w:t>
      </w:r>
    </w:p>
    <w:p w14:paraId="2C6F3E05">
      <w:pPr>
        <w:pStyle w:val="7"/>
        <w:rPr>
          <w:color w:val="auto"/>
        </w:rPr>
      </w:pPr>
      <w:bookmarkStart w:id="53" w:name="_Toc18531"/>
      <w:r>
        <w:rPr>
          <w:rFonts w:hint="eastAsia"/>
          <w:color w:val="auto"/>
        </w:rPr>
        <w:t>噪音与振动控制</w:t>
      </w:r>
      <w:bookmarkEnd w:id="53"/>
    </w:p>
    <w:p w14:paraId="2963FCCC">
      <w:pPr>
        <w:ind w:firstLine="480"/>
        <w:rPr>
          <w:rFonts w:hint="eastAsia" w:ascii="宋体" w:hAnsi="宋体"/>
          <w:color w:val="auto"/>
        </w:rPr>
      </w:pPr>
      <w:r>
        <w:rPr>
          <w:rFonts w:hint="eastAsia" w:ascii="宋体" w:hAnsi="宋体"/>
          <w:color w:val="auto"/>
        </w:rPr>
        <w:t>1．使用低噪音、低振动的机具，减少施工噪音和振动。</w:t>
      </w:r>
    </w:p>
    <w:p w14:paraId="7217E1F5">
      <w:pPr>
        <w:ind w:firstLine="480"/>
        <w:rPr>
          <w:rFonts w:hint="eastAsia" w:ascii="宋体" w:hAnsi="宋体"/>
          <w:color w:val="auto"/>
        </w:rPr>
      </w:pPr>
      <w:r>
        <w:rPr>
          <w:rFonts w:hint="eastAsia" w:ascii="宋体" w:hAnsi="宋体"/>
          <w:color w:val="auto"/>
        </w:rPr>
        <w:t>2．严格管理进出施工现场车辆，出入限速5km/h，禁止鸣喇叭。</w:t>
      </w:r>
    </w:p>
    <w:p w14:paraId="471128B3">
      <w:pPr>
        <w:ind w:firstLine="480"/>
        <w:rPr>
          <w:rFonts w:hint="eastAsia" w:ascii="宋体" w:hAnsi="宋体"/>
          <w:color w:val="auto"/>
        </w:rPr>
      </w:pPr>
      <w:r>
        <w:rPr>
          <w:rFonts w:hint="eastAsia" w:ascii="宋体" w:hAnsi="宋体"/>
          <w:color w:val="auto"/>
        </w:rPr>
        <w:t xml:space="preserve">3．在木工加工棚周围搭设木棚隔音棚，尽量减少噪音；钢筋加工场区，切割机自制遮挡罩。 </w:t>
      </w:r>
    </w:p>
    <w:p w14:paraId="6180155C">
      <w:pPr>
        <w:ind w:firstLine="480"/>
        <w:rPr>
          <w:rFonts w:hint="eastAsia" w:ascii="宋体" w:hAnsi="宋体"/>
          <w:color w:val="auto"/>
        </w:rPr>
      </w:pPr>
      <w:r>
        <w:rPr>
          <w:rFonts w:hint="eastAsia" w:ascii="宋体" w:hAnsi="宋体"/>
          <w:color w:val="auto"/>
        </w:rPr>
        <w:t>4．加强计划管理，尽量避免夜间施工，夜间施工控制在22:00以前，如果须要夜间施工，应上报环保部门批准，告示安民，并做好相关的噪音控制措施。</w:t>
      </w:r>
    </w:p>
    <w:p w14:paraId="1218877E">
      <w:pPr>
        <w:ind w:firstLine="480"/>
        <w:rPr>
          <w:rFonts w:hint="eastAsia" w:ascii="宋体" w:hAnsi="宋体"/>
          <w:color w:val="auto"/>
        </w:rPr>
      </w:pPr>
      <w:r>
        <w:rPr>
          <w:rFonts w:hint="eastAsia" w:ascii="宋体" w:hAnsi="宋体"/>
          <w:color w:val="auto"/>
        </w:rPr>
        <w:t>5．实施现场噪音检查，控制噪音。</w:t>
      </w:r>
    </w:p>
    <w:p w14:paraId="1B93B2E5">
      <w:pPr>
        <w:pStyle w:val="7"/>
        <w:rPr>
          <w:color w:val="auto"/>
        </w:rPr>
      </w:pPr>
      <w:bookmarkStart w:id="54" w:name="_Toc12106"/>
      <w:r>
        <w:rPr>
          <w:rFonts w:hint="eastAsia"/>
          <w:color w:val="auto"/>
        </w:rPr>
        <w:t>光污染控制</w:t>
      </w:r>
      <w:bookmarkEnd w:id="54"/>
    </w:p>
    <w:p w14:paraId="3C9EB35E">
      <w:pPr>
        <w:ind w:firstLine="480"/>
        <w:rPr>
          <w:rFonts w:hint="eastAsia" w:ascii="宋体" w:hAnsi="宋体"/>
          <w:color w:val="auto"/>
        </w:rPr>
      </w:pPr>
      <w:r>
        <w:rPr>
          <w:rFonts w:hint="eastAsia" w:ascii="宋体" w:hAnsi="宋体"/>
          <w:color w:val="auto"/>
        </w:rPr>
        <w:t>1．尽量避免或减少施工过程中的光污染。夜间室外照明灯加设灯罩，透光方向集中在施工范围。</w:t>
      </w:r>
    </w:p>
    <w:p w14:paraId="19B0D603">
      <w:pPr>
        <w:ind w:firstLine="480"/>
        <w:rPr>
          <w:rFonts w:hint="eastAsia" w:ascii="宋体" w:hAnsi="宋体"/>
          <w:color w:val="auto"/>
        </w:rPr>
      </w:pPr>
      <w:r>
        <w:rPr>
          <w:rFonts w:hint="eastAsia" w:ascii="宋体" w:hAnsi="宋体"/>
          <w:color w:val="auto"/>
        </w:rPr>
        <w:t>2．现场钢筋连接方式尽量采取机械连接，尽量减少焊接量和避免搭接焊。</w:t>
      </w:r>
    </w:p>
    <w:p w14:paraId="5D37E97C">
      <w:pPr>
        <w:ind w:firstLine="480"/>
        <w:rPr>
          <w:rFonts w:hint="eastAsia" w:ascii="宋体" w:hAnsi="宋体"/>
          <w:color w:val="auto"/>
        </w:rPr>
      </w:pPr>
      <w:r>
        <w:rPr>
          <w:rFonts w:hint="eastAsia" w:ascii="宋体" w:hAnsi="宋体"/>
          <w:color w:val="auto"/>
        </w:rPr>
        <w:t>3．电焊作业采取遮挡措施，避免电焊弧光外泄。</w:t>
      </w:r>
    </w:p>
    <w:p w14:paraId="52CE373A">
      <w:pPr>
        <w:ind w:firstLine="480"/>
        <w:rPr>
          <w:rFonts w:hint="eastAsia" w:ascii="宋体" w:hAnsi="宋体"/>
          <w:color w:val="auto"/>
        </w:rPr>
      </w:pPr>
      <w:r>
        <w:rPr>
          <w:rFonts w:hint="eastAsia" w:ascii="宋体" w:hAnsi="宋体"/>
          <w:color w:val="auto"/>
        </w:rPr>
        <w:t>4．设置焊接光棚。钢结构焊接部位设置遮光棚，防止强光外射对工地周围区域造成影响。对于板钢筋的焊接，可以用废旧模板钉维护挡板；对于大钢结构采用钢管扣件、防火帆布搭设，可撤卸循环利用。</w:t>
      </w:r>
    </w:p>
    <w:p w14:paraId="4612D1C3">
      <w:pPr>
        <w:ind w:firstLine="480"/>
        <w:rPr>
          <w:rFonts w:hint="eastAsia" w:ascii="宋体" w:hAnsi="宋体"/>
          <w:color w:val="auto"/>
        </w:rPr>
      </w:pPr>
      <w:r>
        <w:rPr>
          <w:rFonts w:hint="eastAsia" w:ascii="宋体" w:hAnsi="宋体"/>
          <w:color w:val="auto"/>
        </w:rPr>
        <w:t>5．控制照明光线的角度：工地周遍及塔吊上设置大型罩式灯，随着工地的进度及时调整罩灯的角度，保证强光线不射出工地外。施必要时在工作面设置挡光彩条布或者密目网遮挡强光。</w:t>
      </w:r>
    </w:p>
    <w:p w14:paraId="0D39191E">
      <w:pPr>
        <w:pStyle w:val="7"/>
        <w:rPr>
          <w:color w:val="auto"/>
        </w:rPr>
      </w:pPr>
      <w:bookmarkStart w:id="55" w:name="_Toc9543"/>
      <w:r>
        <w:rPr>
          <w:rFonts w:hint="eastAsia"/>
          <w:color w:val="auto"/>
        </w:rPr>
        <w:t>水污染控制</w:t>
      </w:r>
      <w:bookmarkEnd w:id="55"/>
    </w:p>
    <w:p w14:paraId="0C4A6A4C">
      <w:pPr>
        <w:ind w:firstLine="480"/>
        <w:rPr>
          <w:rFonts w:hint="eastAsia" w:ascii="宋体" w:hAnsi="宋体"/>
          <w:color w:val="auto"/>
        </w:rPr>
      </w:pPr>
      <w:r>
        <w:rPr>
          <w:rFonts w:hint="eastAsia" w:ascii="宋体" w:hAnsi="宋体"/>
          <w:color w:val="auto"/>
        </w:rPr>
        <w:t>1．施工现场污水排放应达到国家标准《污水综合排放标准》（GB8978-1996）的要求。在施工现场应针对不同的污水，设置相应的处理设施。设置沉淀池、隔油池、化粪池。</w:t>
      </w:r>
    </w:p>
    <w:p w14:paraId="00D599D3">
      <w:pPr>
        <w:ind w:firstLine="480"/>
        <w:rPr>
          <w:rFonts w:hint="eastAsia" w:ascii="宋体" w:hAnsi="宋体"/>
          <w:color w:val="auto"/>
        </w:rPr>
      </w:pPr>
      <w:r>
        <w:rPr>
          <w:rFonts w:hint="eastAsia" w:ascii="宋体" w:hAnsi="宋体"/>
          <w:color w:val="auto"/>
        </w:rPr>
        <w:t>2．雨水：雨水经过排水沟汇集，经过处理进入消防水池，增加雨水利用，减少水污染。</w:t>
      </w:r>
    </w:p>
    <w:p w14:paraId="467EA326">
      <w:pPr>
        <w:ind w:firstLine="480"/>
        <w:rPr>
          <w:rFonts w:hint="eastAsia" w:ascii="宋体" w:hAnsi="宋体"/>
          <w:color w:val="auto"/>
        </w:rPr>
      </w:pPr>
      <w:r>
        <w:rPr>
          <w:rFonts w:hint="eastAsia" w:ascii="宋体" w:hAnsi="宋体"/>
          <w:color w:val="auto"/>
        </w:rPr>
        <w:t>3．污水排放：办公区设置水冲式厕所。在厕所附近设置化粪池，污水经过化粪池沉淀后排入市政管道。</w:t>
      </w:r>
    </w:p>
    <w:p w14:paraId="048BC2BF">
      <w:pPr>
        <w:ind w:firstLine="480"/>
        <w:rPr>
          <w:rFonts w:hint="eastAsia" w:ascii="宋体" w:hAnsi="宋体"/>
          <w:color w:val="auto"/>
        </w:rPr>
      </w:pPr>
      <w:r>
        <w:rPr>
          <w:rFonts w:hint="eastAsia" w:ascii="宋体" w:hAnsi="宋体"/>
          <w:color w:val="auto"/>
        </w:rPr>
        <w:t>4．沉淀池设置：二级沉淀池设置在现场大门处，基坑抽出的水和清洗混凝土搅拌车、泥土车等的污水经过沉淀后，可再利用在现场撒水和混凝土养护等。</w:t>
      </w:r>
    </w:p>
    <w:p w14:paraId="7DB9F920">
      <w:pPr>
        <w:ind w:firstLine="480"/>
        <w:rPr>
          <w:rFonts w:ascii="宋体" w:hAnsi="宋体"/>
          <w:color w:val="auto"/>
        </w:rPr>
      </w:pPr>
      <w:r>
        <w:rPr>
          <w:rFonts w:hint="eastAsia" w:ascii="宋体" w:hAnsi="宋体"/>
          <w:color w:val="auto"/>
        </w:rPr>
        <w:t>5．对于化学品等有毒材料、油料的储存地，应有严格的隔水层设计，做好渗漏液收集和处理。</w:t>
      </w:r>
    </w:p>
    <w:p w14:paraId="1DE2B577">
      <w:pPr>
        <w:pStyle w:val="7"/>
        <w:rPr>
          <w:color w:val="auto"/>
        </w:rPr>
      </w:pPr>
      <w:bookmarkStart w:id="56" w:name="_Toc14247"/>
      <w:r>
        <w:rPr>
          <w:rFonts w:hint="eastAsia"/>
          <w:color w:val="auto"/>
        </w:rPr>
        <w:t>土壤保护</w:t>
      </w:r>
      <w:bookmarkEnd w:id="56"/>
    </w:p>
    <w:p w14:paraId="0279C924">
      <w:pPr>
        <w:ind w:firstLine="480"/>
        <w:rPr>
          <w:rFonts w:hint="eastAsia" w:ascii="宋体" w:hAnsi="宋体"/>
          <w:color w:val="auto"/>
        </w:rPr>
      </w:pPr>
      <w:r>
        <w:rPr>
          <w:rFonts w:hint="eastAsia" w:ascii="宋体" w:hAnsi="宋体"/>
          <w:color w:val="auto"/>
        </w:rPr>
        <w:t>1．保护地表环境，防止土壤侵蚀、流失。因施工造成的裸土，及时覆盖砂石或种植速生草种，以减少土壤侵蚀；因施工造成容易发生地表径流土壤流失的情况，应采取设置地表排水系统、稳定斜坡、植被覆盖等措施，减少土壤流失。</w:t>
      </w:r>
    </w:p>
    <w:p w14:paraId="7E345D51">
      <w:pPr>
        <w:ind w:firstLine="480"/>
        <w:rPr>
          <w:rFonts w:hint="eastAsia" w:ascii="宋体" w:hAnsi="宋体"/>
          <w:color w:val="auto"/>
        </w:rPr>
      </w:pPr>
      <w:r>
        <w:rPr>
          <w:rFonts w:hint="eastAsia" w:ascii="宋体" w:hAnsi="宋体"/>
          <w:color w:val="auto"/>
        </w:rPr>
        <w:t>2．沉淀池、隔油池、化粪池等不发生堵塞、渗漏、溢出等现象。及时清掏各类池内沉淀物。该项目隔油池天天清理，排水沟和沉淀池每月清理两次。</w:t>
      </w:r>
    </w:p>
    <w:p w14:paraId="78AE3106">
      <w:pPr>
        <w:ind w:firstLine="480"/>
        <w:rPr>
          <w:rFonts w:hint="eastAsia" w:ascii="宋体" w:hAnsi="宋体"/>
          <w:color w:val="auto"/>
        </w:rPr>
      </w:pPr>
      <w:r>
        <w:rPr>
          <w:rFonts w:hint="eastAsia" w:ascii="宋体" w:hAnsi="宋体"/>
          <w:color w:val="auto"/>
        </w:rPr>
        <w:t>3．对于有毒有害废弃物如电池、墨盒、油漆、涂料等项目部统一回收后交有资质的单位处理，不能作为建筑垃圾外运；废旧电池要回收，在领取新电池时交回旧电池，最后由项目部统一移交公司处理，避免污染土壤和地下水。</w:t>
      </w:r>
    </w:p>
    <w:p w14:paraId="6DE8E806">
      <w:pPr>
        <w:ind w:firstLine="480"/>
        <w:rPr>
          <w:rFonts w:hint="eastAsia" w:ascii="宋体" w:hAnsi="宋体"/>
          <w:color w:val="auto"/>
        </w:rPr>
      </w:pPr>
      <w:r>
        <w:rPr>
          <w:rFonts w:hint="eastAsia" w:ascii="宋体" w:hAnsi="宋体"/>
          <w:color w:val="auto"/>
        </w:rPr>
        <w:t>4．机械机油处理：在机械的下方铺设苫布，上面铺上一层沙吸油，最后集中找有资质的单位处理。</w:t>
      </w:r>
    </w:p>
    <w:p w14:paraId="77DBE5A7">
      <w:pPr>
        <w:ind w:firstLine="480"/>
        <w:rPr>
          <w:rFonts w:hint="eastAsia" w:ascii="宋体" w:hAnsi="宋体"/>
          <w:color w:val="auto"/>
        </w:rPr>
      </w:pPr>
      <w:r>
        <w:rPr>
          <w:rFonts w:hint="eastAsia" w:ascii="宋体" w:hAnsi="宋体"/>
          <w:color w:val="auto"/>
        </w:rPr>
        <w:t>5．施工后应恢复施工活动破坏的植被。与当地园林、环保部门或当地植物研究机构进行合作，在先前开发地区种植当地或其他合适的植物，以恢复剩余空地地貌或科学绿化，补救施工活动中人为破坏植被和地貌造成的土壤侵蚀。</w:t>
      </w:r>
    </w:p>
    <w:p w14:paraId="020BAC01">
      <w:pPr>
        <w:pStyle w:val="7"/>
        <w:rPr>
          <w:color w:val="auto"/>
        </w:rPr>
      </w:pPr>
      <w:bookmarkStart w:id="57" w:name="_Toc1580"/>
      <w:r>
        <w:rPr>
          <w:rFonts w:hint="eastAsia"/>
          <w:color w:val="auto"/>
        </w:rPr>
        <w:t>建筑垃圾控制</w:t>
      </w:r>
      <w:bookmarkEnd w:id="57"/>
    </w:p>
    <w:p w14:paraId="5997D025">
      <w:pPr>
        <w:ind w:firstLine="480"/>
        <w:rPr>
          <w:rFonts w:hint="eastAsia" w:ascii="宋体" w:hAnsi="宋体"/>
          <w:color w:val="auto"/>
        </w:rPr>
      </w:pPr>
      <w:r>
        <w:rPr>
          <w:rFonts w:hint="eastAsia" w:ascii="宋体" w:hAnsi="宋体"/>
          <w:color w:val="auto"/>
        </w:rPr>
        <w:t>1．在主体结构中，着重加强钢筋、模板、混凝土这方面的建筑垃圾控制；二次结构中，着重加强砌块方面的建筑垃圾的控制；对砌体墙的砌块进行二次优化和排版，减少垃圾量；装饰装修阶段，对材料进行优化，减少切割量。</w:t>
      </w:r>
    </w:p>
    <w:p w14:paraId="128368C7">
      <w:pPr>
        <w:ind w:firstLine="480"/>
        <w:rPr>
          <w:rFonts w:hint="eastAsia" w:ascii="宋体" w:hAnsi="宋体"/>
          <w:color w:val="auto"/>
        </w:rPr>
      </w:pPr>
      <w:r>
        <w:rPr>
          <w:rFonts w:hint="eastAsia" w:ascii="宋体" w:hAnsi="宋体"/>
          <w:color w:val="auto"/>
        </w:rPr>
        <w:t>2．施工现场生活区设置封闭式垃圾容器，施工场地生活垃圾实行袋装化，及时清运。对建筑垃圾进行分类，并收集到现场封闭式垃圾站，集中运出。</w:t>
      </w:r>
    </w:p>
    <w:p w14:paraId="3C619D8B">
      <w:pPr>
        <w:ind w:firstLine="480"/>
        <w:rPr>
          <w:rFonts w:hint="eastAsia" w:ascii="宋体" w:hAnsi="宋体"/>
          <w:color w:val="auto"/>
        </w:rPr>
      </w:pPr>
      <w:r>
        <w:rPr>
          <w:rFonts w:hint="eastAsia" w:ascii="宋体" w:hAnsi="宋体"/>
          <w:color w:val="auto"/>
        </w:rPr>
        <w:t>3．施工现场的固体废弃物对环境产生长期的影响，不宜填埋。运至建筑垃圾消纳中心集中处理，按照可用资源再利用的原则，变废为宝。</w:t>
      </w:r>
    </w:p>
    <w:p w14:paraId="30956902">
      <w:pPr>
        <w:ind w:firstLine="480"/>
        <w:rPr>
          <w:rFonts w:hint="eastAsia" w:ascii="宋体" w:hAnsi="宋体"/>
          <w:color w:val="auto"/>
        </w:rPr>
      </w:pPr>
      <w:r>
        <w:rPr>
          <w:rFonts w:hint="eastAsia" w:ascii="宋体" w:hAnsi="宋体"/>
          <w:color w:val="auto"/>
        </w:rPr>
        <w:t>4．制定建筑垃圾减量化计划：每万平方米的建筑垃圾不宜超过400吨。</w:t>
      </w:r>
    </w:p>
    <w:p w14:paraId="215D1D25">
      <w:pPr>
        <w:ind w:firstLine="480"/>
        <w:rPr>
          <w:rFonts w:hint="eastAsia" w:ascii="宋体" w:hAnsi="宋体"/>
          <w:color w:val="auto"/>
        </w:rPr>
      </w:pPr>
      <w:r>
        <w:rPr>
          <w:rFonts w:hint="eastAsia" w:ascii="宋体" w:hAnsi="宋体"/>
          <w:color w:val="auto"/>
        </w:rPr>
        <w:t>5．加强建筑垃圾的回收再利用，力争建筑垃圾的再利用和回收率达到30%，建筑物拆除产生的废弃物的再利用和回收率大于40%。对于碎石类、土石方类建筑垃圾，采用地基填埋、铺路等方式提高再利用率，力争再利用率大于50%。</w:t>
      </w:r>
    </w:p>
    <w:p w14:paraId="401A3E20">
      <w:pPr>
        <w:ind w:firstLine="480"/>
        <w:rPr>
          <w:rFonts w:hint="eastAsia" w:ascii="宋体" w:hAnsi="宋体"/>
          <w:color w:val="auto"/>
        </w:rPr>
      </w:pPr>
      <w:r>
        <w:rPr>
          <w:rFonts w:hint="eastAsia" w:ascii="宋体" w:hAnsi="宋体"/>
          <w:color w:val="auto"/>
        </w:rPr>
        <w:t>6．按照“减量化、资源化和无害化”的原则采取以下措施：</w:t>
      </w:r>
    </w:p>
    <w:p w14:paraId="42BE6BCD">
      <w:pPr>
        <w:ind w:firstLine="480"/>
        <w:rPr>
          <w:rFonts w:hint="eastAsia" w:ascii="宋体" w:hAnsi="宋体"/>
          <w:color w:val="auto"/>
        </w:rPr>
      </w:pPr>
      <w:r>
        <w:rPr>
          <w:rFonts w:hint="eastAsia" w:ascii="宋体" w:hAnsi="宋体"/>
          <w:color w:val="auto"/>
        </w:rPr>
        <w:t>（1）固体废弃物减量化：</w:t>
      </w:r>
    </w:p>
    <w:p w14:paraId="06683476">
      <w:pPr>
        <w:ind w:firstLine="480"/>
        <w:rPr>
          <w:rFonts w:hint="eastAsia" w:ascii="宋体" w:hAnsi="宋体"/>
          <w:color w:val="auto"/>
        </w:rPr>
      </w:pPr>
      <w:r>
        <w:rPr>
          <w:rFonts w:hint="eastAsia" w:ascii="宋体" w:hAnsi="宋体"/>
          <w:color w:val="auto"/>
        </w:rPr>
        <w:t>通过合理下料技术措施，准确下料，尽量减少建筑垃圾。</w:t>
      </w:r>
    </w:p>
    <w:p w14:paraId="0DBD4371">
      <w:pPr>
        <w:ind w:firstLine="480"/>
        <w:rPr>
          <w:rFonts w:hint="eastAsia" w:ascii="宋体" w:hAnsi="宋体"/>
          <w:color w:val="auto"/>
        </w:rPr>
      </w:pPr>
      <w:r>
        <w:rPr>
          <w:rFonts w:hint="eastAsia" w:ascii="宋体" w:hAnsi="宋体"/>
          <w:color w:val="auto"/>
        </w:rPr>
        <w:t>实行“工完场清”等管理措施，每个工作在结束该段施工工序时，在递交工序交接单前，负责把自己工序的垃圾清扫干净。充分利用以建筑垃圾废弃物的落地砂浆、混凝土等材料。</w:t>
      </w:r>
    </w:p>
    <w:p w14:paraId="2A849422">
      <w:pPr>
        <w:ind w:firstLine="480"/>
        <w:rPr>
          <w:rFonts w:hint="eastAsia" w:ascii="宋体" w:hAnsi="宋体"/>
          <w:color w:val="auto"/>
        </w:rPr>
      </w:pPr>
      <w:r>
        <w:rPr>
          <w:rFonts w:hint="eastAsia" w:ascii="宋体" w:hAnsi="宋体"/>
          <w:color w:val="auto"/>
        </w:rPr>
        <w:t>提高施工质量标准，减少建筑垃圾的产生，如提高墙、地面的施工平整度，一次性达到找平层的要求，提高模板拼缝的质量，避免或减少漏浆。</w:t>
      </w:r>
    </w:p>
    <w:p w14:paraId="114C941F">
      <w:pPr>
        <w:ind w:firstLine="480"/>
        <w:rPr>
          <w:rFonts w:hint="eastAsia" w:ascii="宋体" w:hAnsi="宋体"/>
          <w:color w:val="auto"/>
        </w:rPr>
      </w:pPr>
      <w:r>
        <w:rPr>
          <w:rFonts w:hint="eastAsia" w:ascii="宋体" w:hAnsi="宋体"/>
          <w:color w:val="auto"/>
        </w:rPr>
        <w:t>尽量采用工厂化生产的建筑构件，减少现场切割。</w:t>
      </w:r>
    </w:p>
    <w:p w14:paraId="00BCEC74">
      <w:pPr>
        <w:ind w:firstLine="480"/>
        <w:rPr>
          <w:rFonts w:hint="eastAsia" w:ascii="宋体" w:hAnsi="宋体"/>
          <w:color w:val="auto"/>
        </w:rPr>
      </w:pPr>
      <w:r>
        <w:rPr>
          <w:rFonts w:hint="eastAsia" w:ascii="宋体" w:hAnsi="宋体"/>
          <w:color w:val="auto"/>
        </w:rPr>
        <w:t>（2）固体废弃物资源化：</w:t>
      </w:r>
    </w:p>
    <w:p w14:paraId="15FC633B">
      <w:pPr>
        <w:ind w:firstLine="480"/>
        <w:rPr>
          <w:rFonts w:hint="eastAsia" w:ascii="宋体" w:hAnsi="宋体"/>
          <w:color w:val="auto"/>
        </w:rPr>
      </w:pPr>
      <w:r>
        <w:rPr>
          <w:rFonts w:hint="eastAsia" w:ascii="宋体" w:hAnsi="宋体"/>
          <w:color w:val="auto"/>
        </w:rPr>
        <w:t xml:space="preserve"> 每次浇注完剩余的混凝土用来浇注构造柱、水沟预制盖板和后浇带预制盖板等小构件。</w:t>
      </w:r>
    </w:p>
    <w:p w14:paraId="6A620480">
      <w:pPr>
        <w:ind w:firstLine="480"/>
        <w:rPr>
          <w:rFonts w:hint="eastAsia" w:ascii="宋体" w:hAnsi="宋体"/>
          <w:color w:val="auto"/>
        </w:rPr>
      </w:pPr>
      <w:r>
        <w:rPr>
          <w:rFonts w:hint="eastAsia" w:ascii="宋体" w:hAnsi="宋体"/>
          <w:color w:val="auto"/>
        </w:rPr>
        <w:t>废旧材料的再利用：利用废弃模板来钉做一些维护结构,如遮光棚，隔音板等；利用废弃的钢筋头制作楼板马凳，地锚拉环等。</w:t>
      </w:r>
    </w:p>
    <w:p w14:paraId="0E4299AB">
      <w:pPr>
        <w:ind w:firstLine="480"/>
        <w:rPr>
          <w:rFonts w:hint="eastAsia" w:ascii="宋体" w:hAnsi="宋体"/>
          <w:color w:val="auto"/>
        </w:rPr>
      </w:pPr>
      <w:r>
        <w:rPr>
          <w:rFonts w:hint="eastAsia" w:ascii="宋体" w:hAnsi="宋体"/>
          <w:color w:val="auto"/>
        </w:rPr>
        <w:t>利用木方、木胶合板来搭设道路边的防护板和后浇带的防护板。</w:t>
      </w:r>
    </w:p>
    <w:p w14:paraId="6A6C5894">
      <w:pPr>
        <w:ind w:firstLine="480"/>
        <w:rPr>
          <w:rFonts w:hint="eastAsia" w:ascii="宋体" w:hAnsi="宋体"/>
          <w:color w:val="auto"/>
        </w:rPr>
      </w:pPr>
      <w:r>
        <w:rPr>
          <w:rFonts w:hint="eastAsia" w:ascii="宋体" w:hAnsi="宋体"/>
          <w:color w:val="auto"/>
        </w:rPr>
        <w:t>（3）固体废弃物分类处理</w:t>
      </w:r>
    </w:p>
    <w:p w14:paraId="43D9A550">
      <w:pPr>
        <w:ind w:firstLine="480"/>
        <w:rPr>
          <w:rFonts w:hint="eastAsia" w:ascii="宋体" w:hAnsi="宋体"/>
          <w:color w:val="auto"/>
        </w:rPr>
      </w:pPr>
      <w:r>
        <w:rPr>
          <w:rFonts w:hint="eastAsia" w:ascii="宋体" w:hAnsi="宋体"/>
          <w:color w:val="auto"/>
        </w:rPr>
        <w:t>垃圾分类处理，可回收材料中的木料、木板由胶合板厂、造纸厂回收再利用。</w:t>
      </w:r>
    </w:p>
    <w:p w14:paraId="20B2ED1B">
      <w:pPr>
        <w:ind w:firstLine="480"/>
        <w:rPr>
          <w:rFonts w:hint="eastAsia" w:ascii="宋体" w:hAnsi="宋体"/>
          <w:color w:val="auto"/>
        </w:rPr>
      </w:pPr>
      <w:r>
        <w:rPr>
          <w:rFonts w:hint="eastAsia" w:ascii="宋体" w:hAnsi="宋体"/>
          <w:color w:val="auto"/>
        </w:rPr>
        <w:t>非存档文件纸张采用双面打印或复印，废弃纸张最终与其他纸制品一同回收再利用。</w:t>
      </w:r>
    </w:p>
    <w:p w14:paraId="65EC714B">
      <w:pPr>
        <w:ind w:firstLine="480"/>
        <w:rPr>
          <w:rFonts w:hint="eastAsia" w:ascii="宋体" w:hAnsi="宋体"/>
          <w:color w:val="auto"/>
        </w:rPr>
      </w:pPr>
      <w:r>
        <w:rPr>
          <w:rFonts w:hint="eastAsia" w:ascii="宋体" w:hAnsi="宋体"/>
          <w:color w:val="auto"/>
        </w:rPr>
        <w:t>废旧不可利用钢铁的回收：施工中收集的废钢材，由项目部统一回收再利用。</w:t>
      </w:r>
    </w:p>
    <w:p w14:paraId="432ACD5F">
      <w:pPr>
        <w:ind w:firstLine="480"/>
        <w:rPr>
          <w:rFonts w:hint="eastAsia" w:ascii="宋体" w:hAnsi="宋体"/>
          <w:color w:val="auto"/>
        </w:rPr>
      </w:pPr>
      <w:r>
        <w:rPr>
          <w:rFonts w:hint="eastAsia" w:ascii="宋体" w:hAnsi="宋体"/>
          <w:color w:val="auto"/>
        </w:rPr>
        <w:t>办公使用可多次灌注的墨盒，不能用的废弃墨盒由制造商回收再利用。</w:t>
      </w:r>
    </w:p>
    <w:p w14:paraId="314ED1E3">
      <w:pPr>
        <w:pStyle w:val="7"/>
        <w:rPr>
          <w:color w:val="auto"/>
        </w:rPr>
      </w:pPr>
      <w:bookmarkStart w:id="58" w:name="_Toc8607"/>
      <w:r>
        <w:rPr>
          <w:rFonts w:hint="eastAsia"/>
          <w:color w:val="auto"/>
        </w:rPr>
        <w:t>地下设施、文物和资源保护</w:t>
      </w:r>
      <w:bookmarkEnd w:id="58"/>
    </w:p>
    <w:p w14:paraId="497EC4E5">
      <w:pPr>
        <w:ind w:firstLine="480"/>
        <w:rPr>
          <w:rFonts w:hint="eastAsia" w:ascii="宋体" w:hAnsi="宋体"/>
          <w:color w:val="auto"/>
        </w:rPr>
      </w:pPr>
      <w:r>
        <w:rPr>
          <w:rFonts w:hint="eastAsia" w:ascii="宋体" w:hAnsi="宋体"/>
          <w:color w:val="auto"/>
        </w:rPr>
        <w:t>施工前调查清楚地下各种设施，做好保护计划，保证施工场地周边的各类管道、管线、建筑物、构筑物的安全运行。</w:t>
      </w:r>
    </w:p>
    <w:p w14:paraId="06F577D1">
      <w:pPr>
        <w:ind w:firstLine="480"/>
        <w:rPr>
          <w:rFonts w:hint="eastAsia" w:ascii="宋体" w:hAnsi="宋体"/>
          <w:color w:val="auto"/>
        </w:rPr>
      </w:pPr>
      <w:r>
        <w:rPr>
          <w:rFonts w:hint="eastAsia" w:ascii="宋体" w:hAnsi="宋体"/>
          <w:color w:val="auto"/>
        </w:rPr>
        <w:t>施工过程中，如遇古墓文物，应立即通知相关部门，并做好保护措施。</w:t>
      </w:r>
    </w:p>
    <w:p w14:paraId="63190290">
      <w:pPr>
        <w:pStyle w:val="7"/>
        <w:rPr>
          <w:color w:val="auto"/>
        </w:rPr>
      </w:pPr>
      <w:bookmarkStart w:id="59" w:name="_Toc12916"/>
      <w:r>
        <w:rPr>
          <w:rFonts w:hint="eastAsia"/>
          <w:color w:val="auto"/>
        </w:rPr>
        <w:t>环保监控</w:t>
      </w:r>
      <w:bookmarkEnd w:id="59"/>
    </w:p>
    <w:p w14:paraId="0752C1D8">
      <w:pPr>
        <w:ind w:firstLine="480"/>
        <w:rPr>
          <w:rFonts w:ascii="宋体" w:hAnsi="宋体"/>
          <w:color w:val="auto"/>
        </w:rPr>
      </w:pPr>
      <w:r>
        <w:rPr>
          <w:rFonts w:hint="eastAsia" w:ascii="宋体" w:hAnsi="宋体"/>
          <w:color w:val="auto"/>
        </w:rPr>
        <w:t>本工程安全部负责组织环保监测，必要时邀请当地环保部门到场进行噪声、水质、粉尘监测，并根据监测结果，确定是否需要采取更为严格的防控措施，确保现场污染排放控制在国家及深圳市有关环保法规的允许范围内。</w:t>
      </w:r>
    </w:p>
    <w:p w14:paraId="5FB24A26">
      <w:pPr>
        <w:ind w:firstLine="480"/>
        <w:rPr>
          <w:rFonts w:hint="eastAsia" w:ascii="宋体" w:hAnsi="宋体"/>
          <w:color w:val="auto"/>
        </w:rPr>
      </w:pPr>
      <w:r>
        <w:rPr>
          <w:rFonts w:hint="eastAsia" w:ascii="宋体" w:hAnsi="宋体"/>
          <w:color w:val="auto"/>
        </w:rPr>
        <w:t>1．噪声监测</w:t>
      </w:r>
    </w:p>
    <w:p w14:paraId="30870558">
      <w:pPr>
        <w:ind w:firstLine="480"/>
        <w:rPr>
          <w:rFonts w:ascii="宋体" w:hAnsi="宋体"/>
          <w:color w:val="auto"/>
        </w:rPr>
      </w:pPr>
      <w:r>
        <w:rPr>
          <w:rFonts w:hint="eastAsia" w:ascii="宋体" w:hAnsi="宋体"/>
          <w:color w:val="auto"/>
        </w:rPr>
        <w:t>根据《建筑施工场界噪声测量方法》，制定工地噪声监测方法。</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459"/>
        <w:gridCol w:w="6579"/>
      </w:tblGrid>
      <w:tr w14:paraId="6EA3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2" w:type="dxa"/>
            <w:noWrap w:val="0"/>
            <w:vAlign w:val="center"/>
          </w:tcPr>
          <w:p w14:paraId="7F1BD305">
            <w:pPr>
              <w:pStyle w:val="61"/>
              <w:spacing w:line="240" w:lineRule="auto"/>
              <w:jc w:val="center"/>
              <w:rPr>
                <w:rFonts w:hint="eastAsia" w:eastAsia="宋体" w:cs="Times New Roman"/>
                <w:color w:val="auto"/>
              </w:rPr>
            </w:pPr>
            <w:r>
              <w:rPr>
                <w:rFonts w:hint="eastAsia" w:eastAsia="宋体" w:cs="Times New Roman"/>
                <w:color w:val="auto"/>
              </w:rPr>
              <w:t>序号</w:t>
            </w:r>
          </w:p>
        </w:tc>
        <w:tc>
          <w:tcPr>
            <w:tcW w:w="1459" w:type="dxa"/>
            <w:noWrap w:val="0"/>
            <w:vAlign w:val="center"/>
          </w:tcPr>
          <w:p w14:paraId="254036E8">
            <w:pPr>
              <w:pStyle w:val="61"/>
              <w:spacing w:line="240" w:lineRule="auto"/>
              <w:jc w:val="center"/>
              <w:rPr>
                <w:rFonts w:hint="eastAsia" w:eastAsia="宋体" w:cs="Times New Roman"/>
                <w:color w:val="auto"/>
              </w:rPr>
            </w:pPr>
            <w:r>
              <w:rPr>
                <w:rFonts w:hint="eastAsia" w:eastAsia="宋体" w:cs="Times New Roman"/>
                <w:color w:val="auto"/>
              </w:rPr>
              <w:t>监测项目</w:t>
            </w:r>
          </w:p>
        </w:tc>
        <w:tc>
          <w:tcPr>
            <w:tcW w:w="6579" w:type="dxa"/>
            <w:noWrap w:val="0"/>
            <w:vAlign w:val="center"/>
          </w:tcPr>
          <w:p w14:paraId="360814F5">
            <w:pPr>
              <w:pStyle w:val="61"/>
              <w:spacing w:line="240" w:lineRule="auto"/>
              <w:jc w:val="center"/>
              <w:rPr>
                <w:rFonts w:hint="eastAsia" w:eastAsia="宋体" w:cs="Times New Roman"/>
                <w:color w:val="auto"/>
              </w:rPr>
            </w:pPr>
            <w:r>
              <w:rPr>
                <w:rFonts w:hint="eastAsia" w:eastAsia="宋体" w:cs="Times New Roman"/>
                <w:color w:val="auto"/>
              </w:rPr>
              <w:t>监测内容</w:t>
            </w:r>
          </w:p>
        </w:tc>
      </w:tr>
      <w:tr w14:paraId="322A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2" w:type="dxa"/>
            <w:noWrap w:val="0"/>
            <w:vAlign w:val="center"/>
          </w:tcPr>
          <w:p w14:paraId="046B06EF">
            <w:pPr>
              <w:pStyle w:val="61"/>
              <w:spacing w:line="240" w:lineRule="auto"/>
              <w:jc w:val="center"/>
              <w:rPr>
                <w:rFonts w:hint="eastAsia" w:eastAsia="宋体" w:cs="Times New Roman"/>
                <w:color w:val="auto"/>
              </w:rPr>
            </w:pPr>
            <w:r>
              <w:rPr>
                <w:rFonts w:hint="eastAsia" w:eastAsia="宋体" w:cs="Times New Roman"/>
                <w:color w:val="auto"/>
              </w:rPr>
              <w:t>1</w:t>
            </w:r>
          </w:p>
        </w:tc>
        <w:tc>
          <w:tcPr>
            <w:tcW w:w="1459" w:type="dxa"/>
            <w:noWrap w:val="0"/>
            <w:vAlign w:val="center"/>
          </w:tcPr>
          <w:p w14:paraId="07B3EBDF">
            <w:pPr>
              <w:pStyle w:val="61"/>
              <w:spacing w:line="240" w:lineRule="auto"/>
              <w:jc w:val="center"/>
              <w:rPr>
                <w:rFonts w:hint="eastAsia" w:eastAsia="宋体" w:cs="Times New Roman"/>
                <w:color w:val="auto"/>
              </w:rPr>
            </w:pPr>
            <w:r>
              <w:rPr>
                <w:rFonts w:hint="eastAsia" w:eastAsia="宋体" w:cs="Times New Roman"/>
                <w:color w:val="auto"/>
              </w:rPr>
              <w:t>测试时间</w:t>
            </w:r>
          </w:p>
        </w:tc>
        <w:tc>
          <w:tcPr>
            <w:tcW w:w="6579" w:type="dxa"/>
            <w:noWrap w:val="0"/>
            <w:vAlign w:val="center"/>
          </w:tcPr>
          <w:p w14:paraId="46BB6C23">
            <w:pPr>
              <w:pStyle w:val="61"/>
              <w:spacing w:line="240" w:lineRule="auto"/>
              <w:jc w:val="center"/>
              <w:rPr>
                <w:rFonts w:hint="eastAsia" w:eastAsia="宋体" w:cs="Times New Roman"/>
                <w:color w:val="auto"/>
              </w:rPr>
            </w:pPr>
            <w:r>
              <w:rPr>
                <w:rFonts w:hint="eastAsia" w:eastAsia="宋体" w:cs="Times New Roman"/>
                <w:color w:val="auto"/>
              </w:rPr>
              <w:t>结构、装修等主要施工阶段每月进行1次， 测量时间分为昼间及夜间两部分，夜间测量在22时以后进行，在无雨、无雪、风力为5.0米/秒的情况下。</w:t>
            </w:r>
          </w:p>
        </w:tc>
      </w:tr>
      <w:tr w14:paraId="26DF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2" w:type="dxa"/>
            <w:noWrap w:val="0"/>
            <w:vAlign w:val="center"/>
          </w:tcPr>
          <w:p w14:paraId="4AF99E0C">
            <w:pPr>
              <w:pStyle w:val="61"/>
              <w:spacing w:line="240" w:lineRule="auto"/>
              <w:jc w:val="center"/>
              <w:rPr>
                <w:rFonts w:hint="eastAsia" w:eastAsia="宋体" w:cs="Times New Roman"/>
                <w:color w:val="auto"/>
              </w:rPr>
            </w:pPr>
            <w:r>
              <w:rPr>
                <w:rFonts w:hint="eastAsia" w:eastAsia="宋体" w:cs="Times New Roman"/>
                <w:color w:val="auto"/>
              </w:rPr>
              <w:t>2</w:t>
            </w:r>
          </w:p>
        </w:tc>
        <w:tc>
          <w:tcPr>
            <w:tcW w:w="1459" w:type="dxa"/>
            <w:noWrap w:val="0"/>
            <w:vAlign w:val="center"/>
          </w:tcPr>
          <w:p w14:paraId="1E08ED92">
            <w:pPr>
              <w:pStyle w:val="61"/>
              <w:spacing w:line="240" w:lineRule="auto"/>
              <w:jc w:val="center"/>
              <w:rPr>
                <w:rFonts w:hint="eastAsia" w:eastAsia="宋体" w:cs="Times New Roman"/>
                <w:color w:val="auto"/>
              </w:rPr>
            </w:pPr>
            <w:r>
              <w:rPr>
                <w:rFonts w:hint="eastAsia" w:eastAsia="宋体" w:cs="Times New Roman"/>
                <w:color w:val="auto"/>
              </w:rPr>
              <w:t>测试方法</w:t>
            </w:r>
          </w:p>
        </w:tc>
        <w:tc>
          <w:tcPr>
            <w:tcW w:w="6579" w:type="dxa"/>
            <w:noWrap w:val="0"/>
            <w:vAlign w:val="center"/>
          </w:tcPr>
          <w:p w14:paraId="49339E93">
            <w:pPr>
              <w:pStyle w:val="61"/>
              <w:spacing w:line="240" w:lineRule="auto"/>
              <w:jc w:val="center"/>
              <w:rPr>
                <w:rFonts w:hint="eastAsia" w:eastAsia="宋体" w:cs="Times New Roman"/>
                <w:color w:val="auto"/>
              </w:rPr>
            </w:pPr>
            <w:r>
              <w:rPr>
                <w:rFonts w:hint="eastAsia" w:eastAsia="宋体" w:cs="Times New Roman"/>
                <w:color w:val="auto"/>
              </w:rPr>
              <w:t>在同一测量点，连续测量5-7 个数值，每次读数的间隔时间为5 秒，测量值为5-7 个数的平均值。</w:t>
            </w:r>
          </w:p>
        </w:tc>
      </w:tr>
      <w:tr w14:paraId="1EAD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2" w:type="dxa"/>
            <w:noWrap w:val="0"/>
            <w:vAlign w:val="center"/>
          </w:tcPr>
          <w:p w14:paraId="33501A30">
            <w:pPr>
              <w:pStyle w:val="61"/>
              <w:spacing w:line="240" w:lineRule="auto"/>
              <w:jc w:val="center"/>
              <w:rPr>
                <w:rFonts w:hint="eastAsia" w:eastAsia="宋体" w:cs="Times New Roman"/>
                <w:color w:val="auto"/>
              </w:rPr>
            </w:pPr>
            <w:r>
              <w:rPr>
                <w:rFonts w:hint="eastAsia" w:eastAsia="宋体" w:cs="Times New Roman"/>
                <w:color w:val="auto"/>
              </w:rPr>
              <w:t>3</w:t>
            </w:r>
          </w:p>
        </w:tc>
        <w:tc>
          <w:tcPr>
            <w:tcW w:w="1459" w:type="dxa"/>
            <w:noWrap w:val="0"/>
            <w:vAlign w:val="center"/>
          </w:tcPr>
          <w:p w14:paraId="56625176">
            <w:pPr>
              <w:pStyle w:val="61"/>
              <w:spacing w:line="240" w:lineRule="auto"/>
              <w:jc w:val="center"/>
              <w:rPr>
                <w:rFonts w:hint="eastAsia" w:eastAsia="宋体" w:cs="Times New Roman"/>
                <w:color w:val="auto"/>
              </w:rPr>
            </w:pPr>
            <w:r>
              <w:rPr>
                <w:rFonts w:hint="eastAsia" w:eastAsia="宋体" w:cs="Times New Roman"/>
                <w:color w:val="auto"/>
              </w:rPr>
              <w:t>测量布点</w:t>
            </w:r>
          </w:p>
        </w:tc>
        <w:tc>
          <w:tcPr>
            <w:tcW w:w="6579" w:type="dxa"/>
            <w:noWrap w:val="0"/>
            <w:vAlign w:val="center"/>
          </w:tcPr>
          <w:p w14:paraId="79C3C1B4">
            <w:pPr>
              <w:pStyle w:val="61"/>
              <w:spacing w:line="240" w:lineRule="auto"/>
              <w:jc w:val="center"/>
              <w:rPr>
                <w:rFonts w:hint="eastAsia" w:eastAsia="宋体" w:cs="Times New Roman"/>
                <w:color w:val="auto"/>
              </w:rPr>
            </w:pPr>
            <w:r>
              <w:rPr>
                <w:rFonts w:hint="eastAsia" w:eastAsia="宋体" w:cs="Times New Roman"/>
                <w:color w:val="auto"/>
              </w:rPr>
              <w:t>施工现场对角分成4部分，在工地围墙外1米取4个测量点。</w:t>
            </w:r>
          </w:p>
        </w:tc>
      </w:tr>
      <w:tr w14:paraId="2FEC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2" w:type="dxa"/>
            <w:noWrap w:val="0"/>
            <w:vAlign w:val="center"/>
          </w:tcPr>
          <w:p w14:paraId="5581C9C6">
            <w:pPr>
              <w:pStyle w:val="61"/>
              <w:spacing w:line="240" w:lineRule="auto"/>
              <w:jc w:val="center"/>
              <w:rPr>
                <w:rFonts w:hint="eastAsia" w:eastAsia="宋体" w:cs="Times New Roman"/>
                <w:color w:val="auto"/>
              </w:rPr>
            </w:pPr>
            <w:r>
              <w:rPr>
                <w:rFonts w:hint="eastAsia" w:eastAsia="宋体" w:cs="Times New Roman"/>
                <w:color w:val="auto"/>
              </w:rPr>
              <w:t>4</w:t>
            </w:r>
          </w:p>
        </w:tc>
        <w:tc>
          <w:tcPr>
            <w:tcW w:w="1459" w:type="dxa"/>
            <w:noWrap w:val="0"/>
            <w:vAlign w:val="center"/>
          </w:tcPr>
          <w:p w14:paraId="18CF525E">
            <w:pPr>
              <w:pStyle w:val="61"/>
              <w:spacing w:line="240" w:lineRule="auto"/>
              <w:jc w:val="center"/>
              <w:rPr>
                <w:rFonts w:hint="eastAsia" w:eastAsia="宋体" w:cs="Times New Roman"/>
                <w:color w:val="auto"/>
              </w:rPr>
            </w:pPr>
            <w:r>
              <w:rPr>
                <w:rFonts w:hint="eastAsia" w:eastAsia="宋体" w:cs="Times New Roman"/>
                <w:color w:val="auto"/>
              </w:rPr>
              <w:t>测量点</w:t>
            </w:r>
          </w:p>
        </w:tc>
        <w:tc>
          <w:tcPr>
            <w:tcW w:w="6579" w:type="dxa"/>
            <w:noWrap w:val="0"/>
            <w:vAlign w:val="center"/>
          </w:tcPr>
          <w:p w14:paraId="158E583E">
            <w:pPr>
              <w:pStyle w:val="61"/>
              <w:spacing w:line="240" w:lineRule="auto"/>
              <w:jc w:val="center"/>
              <w:rPr>
                <w:rFonts w:hint="eastAsia" w:eastAsia="宋体" w:cs="Times New Roman"/>
                <w:color w:val="auto"/>
              </w:rPr>
            </w:pPr>
            <w:r>
              <w:rPr>
                <w:rFonts w:hint="eastAsia" w:eastAsia="宋体" w:cs="Times New Roman"/>
                <w:color w:val="auto"/>
              </w:rPr>
              <w:t>传声器置于工地围墙外1米，高度为1.2米以上噪声敏感处。</w:t>
            </w:r>
          </w:p>
        </w:tc>
      </w:tr>
      <w:tr w14:paraId="346F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2" w:type="dxa"/>
            <w:noWrap w:val="0"/>
            <w:vAlign w:val="center"/>
          </w:tcPr>
          <w:p w14:paraId="1B82DE46">
            <w:pPr>
              <w:pStyle w:val="61"/>
              <w:spacing w:line="240" w:lineRule="auto"/>
              <w:jc w:val="center"/>
              <w:rPr>
                <w:rFonts w:hint="eastAsia" w:eastAsia="宋体" w:cs="Times New Roman"/>
                <w:color w:val="auto"/>
              </w:rPr>
            </w:pPr>
            <w:r>
              <w:rPr>
                <w:rFonts w:hint="eastAsia" w:eastAsia="宋体" w:cs="Times New Roman"/>
                <w:color w:val="auto"/>
              </w:rPr>
              <w:t>5</w:t>
            </w:r>
          </w:p>
        </w:tc>
        <w:tc>
          <w:tcPr>
            <w:tcW w:w="1459" w:type="dxa"/>
            <w:noWrap w:val="0"/>
            <w:vAlign w:val="center"/>
          </w:tcPr>
          <w:p w14:paraId="37BA0538">
            <w:pPr>
              <w:pStyle w:val="61"/>
              <w:spacing w:line="240" w:lineRule="auto"/>
              <w:jc w:val="center"/>
              <w:rPr>
                <w:rFonts w:hint="eastAsia" w:eastAsia="宋体" w:cs="Times New Roman"/>
                <w:color w:val="auto"/>
              </w:rPr>
            </w:pPr>
            <w:r>
              <w:rPr>
                <w:rFonts w:hint="eastAsia" w:eastAsia="宋体" w:cs="Times New Roman"/>
                <w:color w:val="auto"/>
              </w:rPr>
              <w:t>测试仪器</w:t>
            </w:r>
          </w:p>
        </w:tc>
        <w:tc>
          <w:tcPr>
            <w:tcW w:w="6579" w:type="dxa"/>
            <w:noWrap w:val="0"/>
            <w:vAlign w:val="center"/>
          </w:tcPr>
          <w:p w14:paraId="19780CE7">
            <w:pPr>
              <w:pStyle w:val="61"/>
              <w:spacing w:line="240" w:lineRule="auto"/>
              <w:jc w:val="center"/>
              <w:rPr>
                <w:rFonts w:hint="eastAsia" w:eastAsia="宋体" w:cs="Times New Roman"/>
                <w:color w:val="auto"/>
              </w:rPr>
            </w:pPr>
            <w:r>
              <w:rPr>
                <w:rFonts w:hint="eastAsia" w:eastAsia="宋体" w:cs="Times New Roman"/>
                <w:color w:val="auto"/>
              </w:rPr>
              <w:t>选用AWA5633袖珍型噪声监测仪</w:t>
            </w:r>
          </w:p>
        </w:tc>
      </w:tr>
      <w:tr w14:paraId="4DC9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2" w:type="dxa"/>
            <w:noWrap w:val="0"/>
            <w:vAlign w:val="center"/>
          </w:tcPr>
          <w:p w14:paraId="11519EF7">
            <w:pPr>
              <w:pStyle w:val="61"/>
              <w:spacing w:line="240" w:lineRule="auto"/>
              <w:jc w:val="center"/>
              <w:rPr>
                <w:rFonts w:hint="eastAsia" w:eastAsia="宋体" w:cs="Times New Roman"/>
                <w:color w:val="auto"/>
              </w:rPr>
            </w:pPr>
            <w:r>
              <w:rPr>
                <w:rFonts w:hint="eastAsia" w:eastAsia="宋体" w:cs="Times New Roman"/>
                <w:color w:val="auto"/>
              </w:rPr>
              <w:t>6</w:t>
            </w:r>
          </w:p>
        </w:tc>
        <w:tc>
          <w:tcPr>
            <w:tcW w:w="1459" w:type="dxa"/>
            <w:noWrap w:val="0"/>
            <w:vAlign w:val="center"/>
          </w:tcPr>
          <w:p w14:paraId="3477D69E">
            <w:pPr>
              <w:pStyle w:val="61"/>
              <w:spacing w:line="240" w:lineRule="auto"/>
              <w:jc w:val="center"/>
              <w:rPr>
                <w:rFonts w:hint="eastAsia" w:eastAsia="宋体" w:cs="Times New Roman"/>
                <w:color w:val="auto"/>
              </w:rPr>
            </w:pPr>
            <w:r>
              <w:rPr>
                <w:rFonts w:hint="eastAsia" w:eastAsia="宋体" w:cs="Times New Roman"/>
                <w:color w:val="auto"/>
              </w:rPr>
              <w:t>监测记录</w:t>
            </w:r>
          </w:p>
        </w:tc>
        <w:tc>
          <w:tcPr>
            <w:tcW w:w="6579" w:type="dxa"/>
            <w:noWrap w:val="0"/>
            <w:vAlign w:val="center"/>
          </w:tcPr>
          <w:p w14:paraId="1CB23716">
            <w:pPr>
              <w:pStyle w:val="61"/>
              <w:spacing w:line="240" w:lineRule="auto"/>
              <w:jc w:val="center"/>
              <w:rPr>
                <w:rFonts w:hint="eastAsia" w:eastAsia="宋体" w:cs="Times New Roman"/>
                <w:color w:val="auto"/>
              </w:rPr>
            </w:pPr>
            <w:r>
              <w:rPr>
                <w:rFonts w:hint="eastAsia" w:eastAsia="宋体" w:cs="Times New Roman"/>
                <w:color w:val="auto"/>
              </w:rPr>
              <w:t>按附表要求由测试人填写记录。</w:t>
            </w:r>
          </w:p>
        </w:tc>
      </w:tr>
      <w:tr w14:paraId="4BA6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2" w:type="dxa"/>
            <w:noWrap w:val="0"/>
            <w:vAlign w:val="center"/>
          </w:tcPr>
          <w:p w14:paraId="111587C8">
            <w:pPr>
              <w:pStyle w:val="61"/>
              <w:spacing w:line="240" w:lineRule="auto"/>
              <w:jc w:val="center"/>
              <w:rPr>
                <w:rFonts w:hint="eastAsia" w:eastAsia="宋体" w:cs="Times New Roman"/>
                <w:color w:val="auto"/>
              </w:rPr>
            </w:pPr>
            <w:r>
              <w:rPr>
                <w:rFonts w:hint="eastAsia" w:eastAsia="宋体" w:cs="Times New Roman"/>
                <w:color w:val="auto"/>
              </w:rPr>
              <w:t>7</w:t>
            </w:r>
          </w:p>
        </w:tc>
        <w:tc>
          <w:tcPr>
            <w:tcW w:w="1459" w:type="dxa"/>
            <w:noWrap w:val="0"/>
            <w:vAlign w:val="center"/>
          </w:tcPr>
          <w:p w14:paraId="7CFA9894">
            <w:pPr>
              <w:pStyle w:val="61"/>
              <w:spacing w:line="240" w:lineRule="auto"/>
              <w:jc w:val="center"/>
              <w:rPr>
                <w:rFonts w:hint="eastAsia" w:eastAsia="宋体" w:cs="Times New Roman"/>
                <w:color w:val="auto"/>
              </w:rPr>
            </w:pPr>
            <w:r>
              <w:rPr>
                <w:rFonts w:hint="eastAsia" w:eastAsia="宋体" w:cs="Times New Roman"/>
                <w:color w:val="auto"/>
              </w:rPr>
              <w:t>测试后处理</w:t>
            </w:r>
          </w:p>
        </w:tc>
        <w:tc>
          <w:tcPr>
            <w:tcW w:w="6579" w:type="dxa"/>
            <w:noWrap w:val="0"/>
            <w:vAlign w:val="center"/>
          </w:tcPr>
          <w:p w14:paraId="52D10108">
            <w:pPr>
              <w:pStyle w:val="61"/>
              <w:spacing w:line="240" w:lineRule="auto"/>
              <w:jc w:val="center"/>
              <w:rPr>
                <w:rFonts w:hint="eastAsia" w:eastAsia="宋体" w:cs="Times New Roman"/>
                <w:color w:val="auto"/>
              </w:rPr>
            </w:pPr>
            <w:r>
              <w:rPr>
                <w:rFonts w:hint="eastAsia" w:eastAsia="宋体" w:cs="Times New Roman"/>
                <w:color w:val="auto"/>
              </w:rPr>
              <w:t>当测试结果高于规定指标时，则采取更严格的降噪措施。</w:t>
            </w:r>
          </w:p>
        </w:tc>
      </w:tr>
    </w:tbl>
    <w:p w14:paraId="11699FC1">
      <w:pPr>
        <w:ind w:firstLine="480"/>
        <w:rPr>
          <w:rFonts w:hint="eastAsia" w:ascii="宋体" w:hAnsi="宋体"/>
          <w:color w:val="auto"/>
        </w:rPr>
      </w:pPr>
      <w:r>
        <w:rPr>
          <w:rFonts w:hint="eastAsia" w:ascii="宋体" w:hAnsi="宋体"/>
          <w:color w:val="auto"/>
        </w:rPr>
        <w:t>2．水质监测</w:t>
      </w:r>
    </w:p>
    <w:p w14:paraId="5A1111B0">
      <w:pPr>
        <w:ind w:firstLine="480"/>
        <w:rPr>
          <w:rFonts w:hint="eastAsia" w:ascii="宋体" w:hAnsi="宋体"/>
          <w:color w:val="auto"/>
        </w:rPr>
      </w:pPr>
      <w:r>
        <w:rPr>
          <w:rFonts w:hint="eastAsia" w:ascii="宋体" w:hAnsi="宋体"/>
          <w:color w:val="auto"/>
        </w:rPr>
        <w:t xml:space="preserve">在消防水池的施工用水要加强水质的检查力度，确保符合施工用水的要求。  </w:t>
      </w:r>
    </w:p>
    <w:p w14:paraId="305901B5">
      <w:pPr>
        <w:ind w:firstLine="480"/>
        <w:rPr>
          <w:rFonts w:hint="eastAsia" w:ascii="宋体" w:hAnsi="宋体"/>
          <w:color w:val="auto"/>
        </w:rPr>
      </w:pPr>
      <w:r>
        <w:rPr>
          <w:rFonts w:hint="eastAsia" w:ascii="宋体" w:hAnsi="宋体"/>
          <w:color w:val="auto"/>
        </w:rPr>
        <w:t>化粪池定期联系排污公司进行外运处理。</w:t>
      </w:r>
    </w:p>
    <w:p w14:paraId="500AD5B1">
      <w:pPr>
        <w:ind w:firstLine="480"/>
        <w:rPr>
          <w:rFonts w:ascii="宋体" w:hAnsi="宋体"/>
          <w:color w:val="auto"/>
        </w:rPr>
      </w:pPr>
      <w:r>
        <w:rPr>
          <w:rFonts w:hint="eastAsia" w:ascii="宋体" w:hAnsi="宋体"/>
          <w:color w:val="auto"/>
        </w:rPr>
        <w:t>沉淀池的污水经沉淀符合要求后，才可排入市政的污水管道。</w:t>
      </w:r>
    </w:p>
    <w:p w14:paraId="35BA9AD1">
      <w:pPr>
        <w:pStyle w:val="7"/>
        <w:rPr>
          <w:color w:val="auto"/>
        </w:rPr>
      </w:pPr>
      <w:bookmarkStart w:id="60" w:name="_Toc11736"/>
      <w:r>
        <w:rPr>
          <w:rFonts w:hint="eastAsia"/>
          <w:color w:val="auto"/>
        </w:rPr>
        <w:t>环境保护措施</w:t>
      </w:r>
      <w:bookmarkEnd w:id="60"/>
    </w:p>
    <w:p w14:paraId="5962D72F">
      <w:pPr>
        <w:ind w:firstLine="480"/>
        <w:rPr>
          <w:rFonts w:hint="eastAsia"/>
          <w:color w:val="auto"/>
        </w:rPr>
      </w:pPr>
      <w:r>
        <w:rPr>
          <w:rFonts w:hint="eastAsia"/>
          <w:color w:val="auto"/>
        </w:rPr>
        <w:t>1、控制项</w:t>
      </w:r>
    </w:p>
    <w:p w14:paraId="3DF96574">
      <w:pPr>
        <w:ind w:firstLine="480"/>
        <w:rPr>
          <w:rFonts w:hint="eastAsia"/>
          <w:color w:val="auto"/>
        </w:rPr>
      </w:pPr>
      <w:r>
        <w:rPr>
          <w:rFonts w:hint="eastAsia"/>
          <w:color w:val="auto"/>
        </w:rPr>
        <w:t>（1）现场施工标牌应包括环境保护内容</w:t>
      </w:r>
    </w:p>
    <w:p w14:paraId="362B2BB4">
      <w:pPr>
        <w:ind w:firstLine="480"/>
        <w:rPr>
          <w:rFonts w:hint="eastAsia"/>
          <w:color w:val="auto"/>
        </w:rPr>
      </w:pPr>
      <w:r>
        <w:rPr>
          <w:rFonts w:hint="eastAsia"/>
          <w:color w:val="auto"/>
        </w:rPr>
        <w:t>现场十牌二图中应包含环保标牌，其中包含绿色施工目标、绿色施工体系、组织结构、职责划分及绿色施工制度等内容。</w:t>
      </w:r>
    </w:p>
    <w:p w14:paraId="2BDA35CE">
      <w:pPr>
        <w:ind w:firstLine="480"/>
        <w:rPr>
          <w:rFonts w:hint="eastAsia"/>
          <w:color w:val="auto"/>
        </w:rPr>
      </w:pPr>
      <w:r>
        <w:rPr>
          <w:rFonts w:hint="eastAsia"/>
          <w:color w:val="auto"/>
        </w:rPr>
        <w:t>（2）施工现场应在醒目位置设环境保护标识</w:t>
      </w:r>
    </w:p>
    <w:p w14:paraId="65151C85">
      <w:pPr>
        <w:ind w:firstLine="480"/>
        <w:rPr>
          <w:rFonts w:hint="eastAsia"/>
          <w:color w:val="auto"/>
        </w:rPr>
      </w:pPr>
      <w:r>
        <w:rPr>
          <w:rFonts w:hint="eastAsia"/>
          <w:color w:val="auto"/>
        </w:rPr>
        <w:tab/>
      </w:r>
      <w:r>
        <w:rPr>
          <w:rFonts w:hint="eastAsia"/>
          <w:color w:val="auto"/>
        </w:rPr>
        <w:t>在现场钢筋车间、木工车间、临时施工道路、休息室、垃圾桶、洗车池等位置挂设环境保护标识。</w:t>
      </w:r>
    </w:p>
    <w:p w14:paraId="510AF0C2">
      <w:pPr>
        <w:ind w:firstLine="480"/>
        <w:rPr>
          <w:rFonts w:hint="eastAsia"/>
          <w:color w:val="auto"/>
        </w:rPr>
      </w:pPr>
      <w:r>
        <w:rPr>
          <w:rFonts w:hint="eastAsia"/>
          <w:color w:val="auto"/>
        </w:rPr>
        <w:t>（3）现场食堂应有卫生许可证，炊事员应持有效健康证明</w:t>
      </w:r>
    </w:p>
    <w:p w14:paraId="3FEE1018">
      <w:pPr>
        <w:ind w:firstLine="480"/>
        <w:rPr>
          <w:rFonts w:hint="eastAsia"/>
          <w:color w:val="auto"/>
        </w:rPr>
      </w:pPr>
      <w:r>
        <w:rPr>
          <w:rFonts w:hint="eastAsia"/>
          <w:color w:val="auto"/>
        </w:rPr>
        <w:t>措施</w:t>
      </w:r>
      <w:r>
        <w:rPr>
          <w:rFonts w:hint="eastAsia"/>
          <w:color w:val="auto"/>
        </w:rPr>
        <w:tab/>
      </w:r>
      <w:r>
        <w:rPr>
          <w:rFonts w:hint="eastAsia"/>
          <w:color w:val="auto"/>
        </w:rPr>
        <w:t>现场食堂内醒目位置挂设卫生许可证和炊事员有效健康证（每年复检1次）。</w:t>
      </w:r>
    </w:p>
    <w:p w14:paraId="3628E084">
      <w:pPr>
        <w:ind w:firstLine="480"/>
        <w:rPr>
          <w:rFonts w:hint="eastAsia"/>
          <w:color w:val="auto"/>
        </w:rPr>
      </w:pPr>
      <w:r>
        <w:rPr>
          <w:rFonts w:hint="eastAsia"/>
          <w:color w:val="auto"/>
        </w:rPr>
        <w:t>2、一般项</w:t>
      </w:r>
    </w:p>
    <w:p w14:paraId="25AEBEEA">
      <w:pPr>
        <w:ind w:firstLine="480"/>
        <w:rPr>
          <w:rFonts w:hint="eastAsia"/>
          <w:color w:val="auto"/>
        </w:rPr>
      </w:pPr>
      <w:r>
        <w:rPr>
          <w:rFonts w:hint="eastAsia"/>
          <w:color w:val="auto"/>
        </w:rPr>
        <w:t>（1）资源保护</w:t>
      </w:r>
    </w:p>
    <w:p w14:paraId="77134B59">
      <w:pPr>
        <w:ind w:firstLine="480"/>
        <w:rPr>
          <w:rFonts w:hint="eastAsia"/>
          <w:color w:val="auto"/>
        </w:rPr>
      </w:pPr>
      <w:r>
        <w:rPr>
          <w:rFonts w:hint="eastAsia"/>
          <w:color w:val="auto"/>
        </w:rPr>
        <w:t>①应保护场地四周原有地下水形态，减少抽取地下水</w:t>
      </w:r>
    </w:p>
    <w:p w14:paraId="06904CDE">
      <w:pPr>
        <w:ind w:firstLine="480"/>
        <w:rPr>
          <w:rFonts w:hint="eastAsia"/>
          <w:color w:val="auto"/>
        </w:rPr>
      </w:pPr>
      <w:r>
        <w:rPr>
          <w:rFonts w:hint="eastAsia"/>
          <w:color w:val="auto"/>
        </w:rPr>
        <w:t>设集水坑、排水沟等措施进行降水和排水，并将水净化用作洗车、防止扬尘等作用。</w:t>
      </w:r>
    </w:p>
    <w:p w14:paraId="58E3AEDF">
      <w:pPr>
        <w:ind w:firstLine="480"/>
        <w:rPr>
          <w:rFonts w:hint="eastAsia"/>
          <w:color w:val="auto"/>
        </w:rPr>
      </w:pPr>
      <w:r>
        <w:rPr>
          <w:rFonts w:hint="eastAsia"/>
          <w:color w:val="auto"/>
        </w:rPr>
        <w:t>②危险品、化学品存放处及污物排放应采取隔离措施</w:t>
      </w:r>
    </w:p>
    <w:p w14:paraId="54BE8D6A">
      <w:pPr>
        <w:ind w:firstLine="480"/>
        <w:rPr>
          <w:rFonts w:hint="eastAsia"/>
          <w:color w:val="auto"/>
        </w:rPr>
      </w:pPr>
      <w:r>
        <w:rPr>
          <w:rFonts w:hint="eastAsia"/>
          <w:color w:val="auto"/>
        </w:rPr>
        <w:t>a化学品、重金属污染品、污物存放处地面采取C20硬化处理，采用砖砌或者彩钢板隔离，并且远离办公区域25米以上。</w:t>
      </w:r>
    </w:p>
    <w:p w14:paraId="266238FD">
      <w:pPr>
        <w:ind w:firstLine="480"/>
        <w:rPr>
          <w:rFonts w:hint="eastAsia"/>
          <w:color w:val="auto"/>
        </w:rPr>
      </w:pPr>
      <w:r>
        <w:rPr>
          <w:rFonts w:hint="eastAsia"/>
          <w:color w:val="auto"/>
        </w:rPr>
        <w:t>b有毒有害物如电池、墨盒、油漆、涂料等需密封保存，并贴上标识，使用完后及时回收并交付有资质的单位处理，不能作为建筑垃圾外运，避免污染土壤和地下水。</w:t>
      </w:r>
    </w:p>
    <w:p w14:paraId="4D06EB3B">
      <w:pPr>
        <w:ind w:firstLine="480"/>
        <w:rPr>
          <w:rFonts w:hint="eastAsia"/>
          <w:color w:val="auto"/>
        </w:rPr>
      </w:pPr>
      <w:r>
        <w:rPr>
          <w:rFonts w:hint="eastAsia"/>
          <w:color w:val="auto"/>
        </w:rPr>
        <w:t>（2）人员健康</w:t>
      </w:r>
    </w:p>
    <w:p w14:paraId="152DD013">
      <w:pPr>
        <w:ind w:firstLine="480"/>
        <w:rPr>
          <w:rFonts w:hint="eastAsia"/>
          <w:color w:val="auto"/>
        </w:rPr>
      </w:pPr>
      <w:r>
        <w:rPr>
          <w:rFonts w:hint="eastAsia"/>
          <w:color w:val="auto"/>
        </w:rPr>
        <w:t>①施工作业区和生活办公区应分开布置，生活设施应远离有毒有害物质</w:t>
      </w:r>
    </w:p>
    <w:p w14:paraId="7D5E238F">
      <w:pPr>
        <w:ind w:firstLine="480"/>
        <w:rPr>
          <w:rFonts w:hint="eastAsia"/>
          <w:color w:val="auto"/>
        </w:rPr>
      </w:pPr>
      <w:r>
        <w:rPr>
          <w:rFonts w:hint="eastAsia"/>
          <w:color w:val="auto"/>
        </w:rPr>
        <w:t>a施工作业区与生活办公区分开布置，并设置导向牌；采用围挡将施工作业区与生活办公区隔离开。</w:t>
      </w:r>
    </w:p>
    <w:p w14:paraId="6CFAB909">
      <w:pPr>
        <w:ind w:firstLine="480"/>
        <w:rPr>
          <w:rFonts w:hint="eastAsia"/>
          <w:color w:val="auto"/>
        </w:rPr>
      </w:pPr>
      <w:r>
        <w:rPr>
          <w:rFonts w:hint="eastAsia"/>
          <w:color w:val="auto"/>
        </w:rPr>
        <w:t>b对有毒有害物质进行识别，并对有毒有害物质归类存放，贴上标签，生活设施不得与有毒有害物质混放。</w:t>
      </w:r>
    </w:p>
    <w:p w14:paraId="64128904">
      <w:pPr>
        <w:ind w:firstLine="480"/>
        <w:rPr>
          <w:rFonts w:hint="eastAsia"/>
          <w:color w:val="auto"/>
        </w:rPr>
      </w:pPr>
      <w:r>
        <w:rPr>
          <w:rFonts w:hint="eastAsia"/>
          <w:color w:val="auto"/>
        </w:rPr>
        <w:t>②生活区应有专人负责，应有消暑或保暖措施</w:t>
      </w:r>
    </w:p>
    <w:p w14:paraId="35A5D23D">
      <w:pPr>
        <w:ind w:firstLine="480"/>
        <w:rPr>
          <w:rFonts w:hint="eastAsia"/>
          <w:color w:val="auto"/>
        </w:rPr>
      </w:pPr>
      <w:r>
        <w:rPr>
          <w:rFonts w:hint="eastAsia"/>
          <w:color w:val="auto"/>
        </w:rPr>
        <w:t>a制定生活区卫生管理制度，并安排专职人员负责，定期对生活区环境卫生进行检查，并下发整改通知单；</w:t>
      </w:r>
    </w:p>
    <w:p w14:paraId="7C5EC582">
      <w:pPr>
        <w:ind w:firstLine="480"/>
        <w:rPr>
          <w:rFonts w:hint="eastAsia"/>
          <w:color w:val="auto"/>
        </w:rPr>
      </w:pPr>
      <w:r>
        <w:rPr>
          <w:rFonts w:hint="eastAsia"/>
          <w:color w:val="auto"/>
        </w:rPr>
        <w:t>b生活区设置锅炉，提供生活用热水；</w:t>
      </w:r>
    </w:p>
    <w:p w14:paraId="1EB65506">
      <w:pPr>
        <w:ind w:firstLine="480"/>
        <w:rPr>
          <w:rFonts w:hint="eastAsia"/>
          <w:color w:val="auto"/>
        </w:rPr>
      </w:pPr>
      <w:r>
        <w:rPr>
          <w:rFonts w:hint="eastAsia"/>
          <w:color w:val="auto"/>
        </w:rPr>
        <w:t>c宿舍内安装节能空调消暑、保暖，严寒地区还可以配置电油汀、取暖片等设备；</w:t>
      </w:r>
    </w:p>
    <w:p w14:paraId="5E364558">
      <w:pPr>
        <w:ind w:firstLine="480"/>
        <w:rPr>
          <w:rFonts w:hint="eastAsia"/>
          <w:color w:val="auto"/>
        </w:rPr>
      </w:pPr>
      <w:r>
        <w:rPr>
          <w:rFonts w:hint="eastAsia"/>
          <w:color w:val="auto"/>
        </w:rPr>
        <w:t>d生活区每间宿舍发放消暑物品：藿香正气水、清凉油、风油精等；</w:t>
      </w:r>
    </w:p>
    <w:p w14:paraId="45A21CEE">
      <w:pPr>
        <w:ind w:firstLine="480"/>
        <w:rPr>
          <w:rFonts w:hint="eastAsia"/>
          <w:color w:val="auto"/>
        </w:rPr>
      </w:pPr>
      <w:r>
        <w:rPr>
          <w:rFonts w:hint="eastAsia"/>
          <w:color w:val="auto"/>
        </w:rPr>
        <w:t>e生活区板房内加设岩棉保温板。</w:t>
      </w:r>
    </w:p>
    <w:p w14:paraId="2AC727DA">
      <w:pPr>
        <w:ind w:firstLine="480"/>
        <w:rPr>
          <w:rFonts w:hint="eastAsia"/>
          <w:color w:val="auto"/>
        </w:rPr>
      </w:pPr>
      <w:r>
        <w:rPr>
          <w:rFonts w:hint="eastAsia"/>
          <w:color w:val="auto"/>
        </w:rPr>
        <w:t>③现场工人劳动强度和工作时间应符合现行国家标准“体力劳动强度分级”GB3869的有关规定</w:t>
      </w:r>
    </w:p>
    <w:p w14:paraId="6A1E4A78">
      <w:pPr>
        <w:ind w:firstLine="480"/>
        <w:rPr>
          <w:rFonts w:hint="eastAsia"/>
          <w:color w:val="auto"/>
        </w:rPr>
      </w:pPr>
      <w:r>
        <w:rPr>
          <w:rFonts w:hint="eastAsia"/>
          <w:color w:val="auto"/>
        </w:rPr>
        <w:t>规定工人作息时间，上午：7:30~11:30，下午：13:30~17:30。</w:t>
      </w:r>
    </w:p>
    <w:p w14:paraId="19556605">
      <w:pPr>
        <w:ind w:firstLine="480"/>
        <w:rPr>
          <w:rFonts w:hint="eastAsia"/>
          <w:color w:val="auto"/>
        </w:rPr>
      </w:pPr>
      <w:r>
        <w:rPr>
          <w:rFonts w:hint="eastAsia"/>
          <w:color w:val="auto"/>
        </w:rPr>
        <w:t>④从事有毒、有害、有刺激性气味和强光、强噪声施工的人员应佩戴与其相应的防护器具</w:t>
      </w:r>
    </w:p>
    <w:p w14:paraId="62C2BC63">
      <w:pPr>
        <w:ind w:firstLine="480"/>
        <w:rPr>
          <w:rFonts w:hint="eastAsia"/>
          <w:color w:val="auto"/>
        </w:rPr>
      </w:pPr>
      <w:r>
        <w:rPr>
          <w:rFonts w:hint="eastAsia"/>
          <w:color w:val="auto"/>
        </w:rPr>
        <w:t>a从事电焊作业的人员，应佩戴电焊防护面罩；</w:t>
      </w:r>
    </w:p>
    <w:p w14:paraId="61F77146">
      <w:pPr>
        <w:ind w:firstLine="480"/>
        <w:rPr>
          <w:rFonts w:hint="eastAsia"/>
          <w:color w:val="auto"/>
        </w:rPr>
      </w:pPr>
      <w:r>
        <w:rPr>
          <w:rFonts w:hint="eastAsia"/>
          <w:color w:val="auto"/>
        </w:rPr>
        <w:t>b从事消毒、刺激性气味的人员应佩戴消毒面罩。</w:t>
      </w:r>
    </w:p>
    <w:p w14:paraId="497FEEAF">
      <w:pPr>
        <w:ind w:firstLine="480"/>
        <w:rPr>
          <w:rFonts w:hint="eastAsia"/>
          <w:color w:val="auto"/>
        </w:rPr>
      </w:pPr>
      <w:r>
        <w:rPr>
          <w:rFonts w:hint="eastAsia"/>
          <w:color w:val="auto"/>
        </w:rPr>
        <w:t>⑤深井、密闭环境、防水和室内装修施工应有自然通风或临时通风设施</w:t>
      </w:r>
    </w:p>
    <w:p w14:paraId="61C4F8CA">
      <w:pPr>
        <w:ind w:firstLine="480"/>
        <w:rPr>
          <w:rFonts w:hint="eastAsia"/>
          <w:color w:val="auto"/>
        </w:rPr>
      </w:pPr>
      <w:r>
        <w:rPr>
          <w:rFonts w:hint="eastAsia"/>
          <w:color w:val="auto"/>
        </w:rPr>
        <w:t>本工程地下施工面积大，室内装饰装修阶段，可通过上下贯通的预留孔进行通风，同时辅助设计大风扇，确保空气流通。</w:t>
      </w:r>
    </w:p>
    <w:p w14:paraId="6F6E9BCB">
      <w:pPr>
        <w:ind w:firstLine="480"/>
        <w:rPr>
          <w:rFonts w:hint="eastAsia"/>
          <w:color w:val="auto"/>
        </w:rPr>
      </w:pPr>
      <w:r>
        <w:rPr>
          <w:rFonts w:hint="eastAsia"/>
          <w:color w:val="auto"/>
        </w:rPr>
        <w:t>⑥现场危险设备、地段、有毒物品存放地应配置醒目安全标志，施工应采取有效防毒、防污、防尘、防潮、通风等措施，应加强人员健康管理。</w:t>
      </w:r>
    </w:p>
    <w:p w14:paraId="127E55C1">
      <w:pPr>
        <w:ind w:firstLine="480"/>
        <w:rPr>
          <w:rFonts w:hint="eastAsia"/>
          <w:color w:val="auto"/>
        </w:rPr>
      </w:pPr>
      <w:r>
        <w:rPr>
          <w:rFonts w:hint="eastAsia"/>
          <w:color w:val="auto"/>
        </w:rPr>
        <w:t>⑦厕所、卫生设施、排水沟及阴暗潮湿地带应定期消毒</w:t>
      </w:r>
    </w:p>
    <w:p w14:paraId="712E13B8">
      <w:pPr>
        <w:ind w:firstLine="480"/>
        <w:rPr>
          <w:rFonts w:hint="eastAsia"/>
          <w:color w:val="auto"/>
        </w:rPr>
      </w:pPr>
      <w:r>
        <w:rPr>
          <w:rFonts w:hint="eastAsia"/>
          <w:color w:val="auto"/>
        </w:rPr>
        <w:t>a根据平面布置进行厕所、卫生设施、排水沟的整体部署，经沉淀或净化后，排入市政管网或加以利用；</w:t>
      </w:r>
    </w:p>
    <w:p w14:paraId="77869F9F">
      <w:pPr>
        <w:ind w:firstLine="480"/>
        <w:rPr>
          <w:rFonts w:hint="eastAsia"/>
          <w:color w:val="auto"/>
        </w:rPr>
      </w:pPr>
      <w:r>
        <w:rPr>
          <w:rFonts w:hint="eastAsia"/>
          <w:color w:val="auto"/>
        </w:rPr>
        <w:t>b安排专人每天对厕所、排水沟等进行消毒清理，人员消毒工作时应佩戴防毒面罩。</w:t>
      </w:r>
    </w:p>
    <w:p w14:paraId="42957CFC">
      <w:pPr>
        <w:ind w:firstLine="480"/>
        <w:rPr>
          <w:rFonts w:hint="eastAsia"/>
          <w:color w:val="auto"/>
        </w:rPr>
      </w:pPr>
      <w:r>
        <w:rPr>
          <w:rFonts w:hint="eastAsia"/>
          <w:color w:val="auto"/>
        </w:rPr>
        <w:t>⑧食堂各类器具应清洁，个人卫生、操作行为应规范</w:t>
      </w:r>
    </w:p>
    <w:p w14:paraId="7FC3CB92">
      <w:pPr>
        <w:ind w:firstLine="480"/>
        <w:rPr>
          <w:rFonts w:hint="eastAsia"/>
          <w:color w:val="auto"/>
        </w:rPr>
      </w:pPr>
      <w:r>
        <w:rPr>
          <w:rFonts w:hint="eastAsia"/>
          <w:color w:val="auto"/>
        </w:rPr>
        <w:t>a制定食堂卫生管理制度，配置充足的洗洁精等物品，餐前、餐后清洗各类器具，定期由后勤管理人员检查；</w:t>
      </w:r>
    </w:p>
    <w:p w14:paraId="5A97AC9D">
      <w:pPr>
        <w:ind w:firstLine="480"/>
        <w:rPr>
          <w:rFonts w:hint="eastAsia"/>
          <w:color w:val="auto"/>
        </w:rPr>
      </w:pPr>
      <w:r>
        <w:rPr>
          <w:rFonts w:hint="eastAsia"/>
          <w:color w:val="auto"/>
        </w:rPr>
        <w:t>b装修食堂所用建筑材料必须符合环保、消防要求。食堂必须设置独立的制作间、库房和燃气罐存放间，必须设置隔油池，应配备必要的排风设施和消毒设施；必须设置密闭式泔水桶；</w:t>
      </w:r>
    </w:p>
    <w:p w14:paraId="4F02C23F">
      <w:pPr>
        <w:ind w:firstLine="480"/>
        <w:rPr>
          <w:rFonts w:hint="eastAsia"/>
          <w:color w:val="auto"/>
        </w:rPr>
      </w:pPr>
      <w:r>
        <w:rPr>
          <w:rFonts w:hint="eastAsia"/>
          <w:color w:val="auto"/>
        </w:rPr>
        <w:t>c制作间灶台及其周边应贴瓷砖，地面硬化，保持墙面、地面干净，下水管线应与污水管线连接，保证排水通畅。</w:t>
      </w:r>
    </w:p>
    <w:p w14:paraId="55B950C2">
      <w:pPr>
        <w:ind w:firstLine="480"/>
        <w:rPr>
          <w:rFonts w:hint="eastAsia"/>
          <w:color w:val="auto"/>
        </w:rPr>
      </w:pPr>
      <w:r>
        <w:rPr>
          <w:rFonts w:hint="eastAsia"/>
          <w:color w:val="auto"/>
        </w:rPr>
        <w:t>（3）扬尘控制</w:t>
      </w:r>
    </w:p>
    <w:p w14:paraId="02421207">
      <w:pPr>
        <w:ind w:firstLine="480"/>
        <w:rPr>
          <w:rFonts w:hint="eastAsia"/>
          <w:color w:val="auto"/>
        </w:rPr>
      </w:pPr>
      <w:r>
        <w:rPr>
          <w:rFonts w:hint="eastAsia"/>
          <w:color w:val="auto"/>
        </w:rPr>
        <w:tab/>
      </w:r>
      <w:r>
        <w:rPr>
          <w:rFonts w:hint="eastAsia"/>
          <w:color w:val="auto"/>
        </w:rPr>
        <w:t>①现场应建立洒水清扫制度，配备洒水设备，并应有专人负责</w:t>
      </w:r>
    </w:p>
    <w:p w14:paraId="515BE81D">
      <w:pPr>
        <w:ind w:firstLine="480"/>
        <w:rPr>
          <w:rFonts w:hint="eastAsia"/>
          <w:color w:val="auto"/>
        </w:rPr>
      </w:pPr>
      <w:r>
        <w:rPr>
          <w:rFonts w:hint="eastAsia"/>
          <w:color w:val="auto"/>
        </w:rPr>
        <w:t>a建立洒水清扫制度，安排专人每天早、中、晚对现场洒水降尘；</w:t>
      </w:r>
    </w:p>
    <w:p w14:paraId="42201C89">
      <w:pPr>
        <w:ind w:firstLine="480"/>
        <w:rPr>
          <w:rFonts w:hint="eastAsia"/>
          <w:color w:val="auto"/>
        </w:rPr>
      </w:pPr>
      <w:r>
        <w:rPr>
          <w:rFonts w:hint="eastAsia"/>
          <w:color w:val="auto"/>
        </w:rPr>
        <w:t>b现场利用废弃材料自制便利洒水车；</w:t>
      </w:r>
    </w:p>
    <w:p w14:paraId="641FD650">
      <w:pPr>
        <w:ind w:firstLine="480"/>
        <w:rPr>
          <w:rFonts w:hint="eastAsia"/>
          <w:color w:val="auto"/>
        </w:rPr>
      </w:pPr>
      <w:r>
        <w:rPr>
          <w:rFonts w:hint="eastAsia"/>
          <w:color w:val="auto"/>
        </w:rPr>
        <w:t>c在道路周围布设喷雾设备进行道路洒水及除尘。</w:t>
      </w:r>
    </w:p>
    <w:p w14:paraId="2637C787">
      <w:pPr>
        <w:ind w:firstLine="480"/>
        <w:rPr>
          <w:rFonts w:hint="eastAsia"/>
          <w:color w:val="auto"/>
        </w:rPr>
      </w:pPr>
      <w:r>
        <w:rPr>
          <w:rFonts w:hint="eastAsia"/>
          <w:color w:val="auto"/>
        </w:rPr>
        <w:t>②对裸露地面、集中堆放的土方应采取抑尘措施</w:t>
      </w:r>
    </w:p>
    <w:p w14:paraId="45A8E901">
      <w:pPr>
        <w:ind w:firstLine="480"/>
        <w:rPr>
          <w:rFonts w:hint="eastAsia"/>
          <w:color w:val="auto"/>
        </w:rPr>
      </w:pPr>
      <w:r>
        <w:rPr>
          <w:rFonts w:hint="eastAsia"/>
          <w:color w:val="auto"/>
        </w:rPr>
        <w:t>a对裸露地面进行硬化、覆盖碎石、覆盖密目网；</w:t>
      </w:r>
    </w:p>
    <w:p w14:paraId="3DD3B2EC">
      <w:pPr>
        <w:ind w:firstLine="480"/>
        <w:rPr>
          <w:rFonts w:hint="eastAsia"/>
          <w:color w:val="auto"/>
        </w:rPr>
      </w:pPr>
      <w:r>
        <w:rPr>
          <w:rFonts w:hint="eastAsia"/>
          <w:color w:val="auto"/>
        </w:rPr>
        <w:t>b现场集中堆放的土方，应先初步压实，然后采用塑料布覆盖。</w:t>
      </w:r>
    </w:p>
    <w:p w14:paraId="779D7AED">
      <w:pPr>
        <w:ind w:firstLine="480"/>
        <w:rPr>
          <w:rFonts w:hint="eastAsia"/>
          <w:color w:val="auto"/>
        </w:rPr>
      </w:pPr>
      <w:r>
        <w:rPr>
          <w:rFonts w:hint="eastAsia"/>
          <w:color w:val="auto"/>
        </w:rPr>
        <w:t>③运送土方、渣土等易产生扬尘的车辆应采取封闭或遮盖措施</w:t>
      </w:r>
    </w:p>
    <w:p w14:paraId="16346E95">
      <w:pPr>
        <w:ind w:firstLine="480"/>
        <w:rPr>
          <w:rFonts w:hint="eastAsia"/>
          <w:color w:val="auto"/>
        </w:rPr>
      </w:pPr>
      <w:r>
        <w:rPr>
          <w:rFonts w:hint="eastAsia"/>
          <w:color w:val="auto"/>
        </w:rPr>
        <w:t>a选择有渣土准运证的单位进行合作；</w:t>
      </w:r>
    </w:p>
    <w:p w14:paraId="1D019569">
      <w:pPr>
        <w:ind w:firstLine="480"/>
        <w:rPr>
          <w:rFonts w:hint="eastAsia"/>
          <w:color w:val="auto"/>
        </w:rPr>
      </w:pPr>
      <w:r>
        <w:rPr>
          <w:rFonts w:hint="eastAsia"/>
          <w:color w:val="auto"/>
        </w:rPr>
        <w:t>b按照</w:t>
      </w:r>
      <w:r>
        <w:rPr>
          <w:rFonts w:hint="eastAsia"/>
          <w:color w:val="auto"/>
          <w:lang w:eastAsia="zh-CN"/>
        </w:rPr>
        <w:t>三亚</w:t>
      </w:r>
      <w:r>
        <w:rPr>
          <w:rFonts w:hint="eastAsia"/>
          <w:color w:val="auto"/>
        </w:rPr>
        <w:t>市要求采用新型渣土运输车，做到无污染、可监控。</w:t>
      </w:r>
    </w:p>
    <w:p w14:paraId="0D3C02AC">
      <w:pPr>
        <w:ind w:firstLine="480"/>
        <w:rPr>
          <w:rFonts w:hint="eastAsia"/>
          <w:color w:val="auto"/>
        </w:rPr>
      </w:pPr>
      <w:r>
        <w:rPr>
          <w:rFonts w:hint="eastAsia"/>
          <w:color w:val="auto"/>
        </w:rPr>
        <w:t>④现场进出口应设冲洗池和洗湿垫，应保持进出现场车辆清洁</w:t>
      </w:r>
    </w:p>
    <w:p w14:paraId="73A1E1E4">
      <w:pPr>
        <w:ind w:firstLine="480"/>
        <w:rPr>
          <w:rFonts w:hint="eastAsia"/>
          <w:color w:val="auto"/>
        </w:rPr>
      </w:pPr>
      <w:r>
        <w:rPr>
          <w:rFonts w:hint="eastAsia"/>
          <w:color w:val="auto"/>
        </w:rPr>
        <w:t>a施工大门口设置洗车槽，配备洗车设备并设置沉淀池；</w:t>
      </w:r>
    </w:p>
    <w:p w14:paraId="6A76123A">
      <w:pPr>
        <w:ind w:firstLine="480"/>
        <w:rPr>
          <w:rFonts w:hint="eastAsia"/>
          <w:color w:val="auto"/>
        </w:rPr>
      </w:pPr>
      <w:r>
        <w:rPr>
          <w:rFonts w:hint="eastAsia"/>
          <w:color w:val="auto"/>
        </w:rPr>
        <w:t>b施工大门安排专人对车辆进行冲洗，配备高压冲洗枪。</w:t>
      </w:r>
    </w:p>
    <w:p w14:paraId="6F3A4137">
      <w:pPr>
        <w:ind w:firstLine="480"/>
        <w:rPr>
          <w:rFonts w:hint="eastAsia"/>
          <w:color w:val="auto"/>
        </w:rPr>
      </w:pPr>
      <w:r>
        <w:rPr>
          <w:rFonts w:hint="eastAsia"/>
          <w:color w:val="auto"/>
        </w:rPr>
        <w:t>⑤易飞扬和细颗粒建筑材料应封闭存放，余料应及时回收</w:t>
      </w:r>
    </w:p>
    <w:p w14:paraId="7DF741F5">
      <w:pPr>
        <w:ind w:firstLine="480"/>
        <w:rPr>
          <w:rFonts w:hint="eastAsia"/>
          <w:color w:val="auto"/>
        </w:rPr>
      </w:pPr>
      <w:r>
        <w:rPr>
          <w:rFonts w:hint="eastAsia"/>
          <w:color w:val="auto"/>
        </w:rPr>
        <w:t>a现场设置临时仓库（彩钢板房），易飞扬和细颗粒建筑材料归类集中堆放至仓库；</w:t>
      </w:r>
    </w:p>
    <w:p w14:paraId="303BD284">
      <w:pPr>
        <w:ind w:firstLine="480"/>
        <w:rPr>
          <w:rFonts w:hint="eastAsia"/>
          <w:color w:val="auto"/>
        </w:rPr>
      </w:pPr>
      <w:r>
        <w:rPr>
          <w:rFonts w:hint="eastAsia"/>
          <w:color w:val="auto"/>
        </w:rPr>
        <w:t>b现场堆放的易飞扬、细颗粒建筑材料等，采用彩条布遮盖；施工后的余料及时回收至指定区域。</w:t>
      </w:r>
    </w:p>
    <w:p w14:paraId="716CD702">
      <w:pPr>
        <w:ind w:firstLine="480"/>
        <w:rPr>
          <w:rFonts w:hint="eastAsia"/>
          <w:color w:val="auto"/>
        </w:rPr>
      </w:pPr>
      <w:r>
        <w:rPr>
          <w:rFonts w:hint="eastAsia"/>
          <w:color w:val="auto"/>
        </w:rPr>
        <w:t>⑥易产生扬尘的施工作业应采取遮挡、抑尘措施</w:t>
      </w:r>
    </w:p>
    <w:p w14:paraId="027E0826">
      <w:pPr>
        <w:ind w:firstLine="480"/>
        <w:rPr>
          <w:rFonts w:hint="eastAsia"/>
          <w:color w:val="auto"/>
        </w:rPr>
      </w:pPr>
      <w:r>
        <w:rPr>
          <w:rFonts w:hint="eastAsia"/>
          <w:color w:val="auto"/>
        </w:rPr>
        <w:t>a主体施工阶段，随外架设置喷雾降尘管道用于作业面降尘；</w:t>
      </w:r>
    </w:p>
    <w:p w14:paraId="561B0942">
      <w:pPr>
        <w:ind w:firstLine="480"/>
        <w:rPr>
          <w:rFonts w:hint="eastAsia"/>
          <w:color w:val="auto"/>
        </w:rPr>
      </w:pPr>
      <w:r>
        <w:rPr>
          <w:rFonts w:hint="eastAsia"/>
          <w:color w:val="auto"/>
        </w:rPr>
        <w:t>b装饰装修阶段采用分离式移动降尘设备；</w:t>
      </w:r>
    </w:p>
    <w:p w14:paraId="57F56073">
      <w:pPr>
        <w:ind w:firstLine="480"/>
        <w:rPr>
          <w:rFonts w:hint="eastAsia"/>
          <w:color w:val="auto"/>
        </w:rPr>
      </w:pPr>
      <w:r>
        <w:rPr>
          <w:rFonts w:hint="eastAsia"/>
          <w:color w:val="auto"/>
        </w:rPr>
        <w:t>c木工房等易产生扬尘的部位采用切割粉尘分离吸尘器。</w:t>
      </w:r>
    </w:p>
    <w:p w14:paraId="786B91EE">
      <w:pPr>
        <w:ind w:firstLine="480"/>
        <w:rPr>
          <w:rFonts w:hint="eastAsia"/>
          <w:color w:val="auto"/>
        </w:rPr>
      </w:pPr>
      <w:r>
        <w:rPr>
          <w:rFonts w:hint="eastAsia"/>
          <w:color w:val="auto"/>
        </w:rPr>
        <w:t>⑦现场使用散装水泥、预拌砂浆应有密闭防尘措施</w:t>
      </w:r>
    </w:p>
    <w:p w14:paraId="6EBF74DF">
      <w:pPr>
        <w:ind w:firstLine="480"/>
        <w:rPr>
          <w:rFonts w:hint="eastAsia"/>
          <w:color w:val="auto"/>
        </w:rPr>
      </w:pPr>
      <w:r>
        <w:rPr>
          <w:rFonts w:hint="eastAsia"/>
          <w:color w:val="auto"/>
        </w:rPr>
        <w:t>a严格按照</w:t>
      </w:r>
      <w:r>
        <w:rPr>
          <w:rFonts w:hint="eastAsia"/>
          <w:color w:val="auto"/>
          <w:lang w:eastAsia="zh-CN"/>
        </w:rPr>
        <w:t>三亚</w:t>
      </w:r>
      <w:r>
        <w:rPr>
          <w:rFonts w:hint="eastAsia"/>
          <w:color w:val="auto"/>
        </w:rPr>
        <w:t>市要求使用的砌筑、墙面、地面砂浆采用散装预拌砂浆；</w:t>
      </w:r>
    </w:p>
    <w:p w14:paraId="08E4A01C">
      <w:pPr>
        <w:ind w:firstLine="480"/>
        <w:rPr>
          <w:rFonts w:hint="eastAsia"/>
          <w:color w:val="auto"/>
        </w:rPr>
      </w:pPr>
      <w:r>
        <w:rPr>
          <w:rFonts w:hint="eastAsia"/>
          <w:color w:val="auto"/>
        </w:rPr>
        <w:t>b对于易产生粉尘的材料采取封闭储存。</w:t>
      </w:r>
    </w:p>
    <w:p w14:paraId="1D6ADA15">
      <w:pPr>
        <w:ind w:firstLine="480"/>
        <w:rPr>
          <w:rFonts w:hint="eastAsia"/>
          <w:color w:val="auto"/>
        </w:rPr>
      </w:pPr>
      <w:r>
        <w:rPr>
          <w:rFonts w:hint="eastAsia"/>
          <w:color w:val="auto"/>
        </w:rPr>
        <w:t>（4）废气排放</w:t>
      </w:r>
    </w:p>
    <w:p w14:paraId="588480D9">
      <w:pPr>
        <w:ind w:firstLine="480"/>
        <w:rPr>
          <w:rFonts w:hint="eastAsia"/>
          <w:color w:val="auto"/>
        </w:rPr>
      </w:pPr>
      <w:r>
        <w:rPr>
          <w:rFonts w:hint="eastAsia"/>
          <w:color w:val="auto"/>
        </w:rPr>
        <w:t>①进出场车辆及机械设备废气排放应符合国家年检要求</w:t>
      </w:r>
    </w:p>
    <w:p w14:paraId="7199F3B1">
      <w:pPr>
        <w:ind w:firstLine="480"/>
        <w:rPr>
          <w:rFonts w:hint="eastAsia"/>
          <w:color w:val="auto"/>
        </w:rPr>
      </w:pPr>
      <w:r>
        <w:rPr>
          <w:rFonts w:hint="eastAsia"/>
          <w:color w:val="auto"/>
        </w:rPr>
        <w:t>车辆及机械设备应挂年检标识牌，各项检测指标符合国家废气排放要求。</w:t>
      </w:r>
    </w:p>
    <w:p w14:paraId="225A8CBA">
      <w:pPr>
        <w:ind w:firstLine="480"/>
        <w:rPr>
          <w:rFonts w:hint="eastAsia"/>
          <w:color w:val="auto"/>
        </w:rPr>
      </w:pPr>
      <w:r>
        <w:rPr>
          <w:rFonts w:hint="eastAsia"/>
          <w:color w:val="auto"/>
        </w:rPr>
        <w:t>②不应使用煤作为现场生活的燃料</w:t>
      </w:r>
    </w:p>
    <w:p w14:paraId="169AA5DB">
      <w:pPr>
        <w:ind w:firstLine="480"/>
        <w:rPr>
          <w:rFonts w:hint="eastAsia"/>
          <w:color w:val="auto"/>
        </w:rPr>
      </w:pPr>
      <w:r>
        <w:rPr>
          <w:rFonts w:hint="eastAsia"/>
          <w:color w:val="auto"/>
        </w:rPr>
        <w:t>采用煤气、液化气等作为现场生活燃料。</w:t>
      </w:r>
    </w:p>
    <w:p w14:paraId="180571CA">
      <w:pPr>
        <w:ind w:firstLine="480"/>
        <w:rPr>
          <w:rFonts w:hint="eastAsia"/>
          <w:color w:val="auto"/>
        </w:rPr>
      </w:pPr>
      <w:r>
        <w:rPr>
          <w:rFonts w:hint="eastAsia"/>
          <w:color w:val="auto"/>
        </w:rPr>
        <w:t>生活区取暖设置专用线路，利用空调或电油汀等节能电取暖器。</w:t>
      </w:r>
    </w:p>
    <w:p w14:paraId="4F3AFBE4">
      <w:pPr>
        <w:ind w:firstLine="480"/>
        <w:rPr>
          <w:rFonts w:hint="eastAsia"/>
          <w:color w:val="auto"/>
        </w:rPr>
      </w:pPr>
      <w:r>
        <w:rPr>
          <w:rFonts w:hint="eastAsia"/>
          <w:color w:val="auto"/>
        </w:rPr>
        <w:t>③电焊烟气的排放应符合现行国家标准《大气污染综合排放标准》GB16297的规定</w:t>
      </w:r>
    </w:p>
    <w:p w14:paraId="2711A45A">
      <w:pPr>
        <w:ind w:firstLine="480"/>
        <w:rPr>
          <w:rFonts w:hint="eastAsia"/>
          <w:color w:val="auto"/>
        </w:rPr>
      </w:pPr>
      <w:r>
        <w:rPr>
          <w:rFonts w:hint="eastAsia"/>
          <w:color w:val="auto"/>
        </w:rPr>
        <w:t>焊机进场前进行检验检测，确保满足废气排放标准要求。</w:t>
      </w:r>
    </w:p>
    <w:p w14:paraId="547644BE">
      <w:pPr>
        <w:ind w:firstLine="480"/>
        <w:rPr>
          <w:rFonts w:hint="eastAsia"/>
          <w:color w:val="auto"/>
        </w:rPr>
      </w:pPr>
      <w:r>
        <w:rPr>
          <w:rFonts w:hint="eastAsia"/>
          <w:color w:val="auto"/>
        </w:rPr>
        <w:t>项目部配备烟气检测器，并派专人对现场焊机进行定期及突击检查。</w:t>
      </w:r>
    </w:p>
    <w:p w14:paraId="7950D047">
      <w:pPr>
        <w:ind w:firstLine="480"/>
        <w:rPr>
          <w:rFonts w:hint="eastAsia"/>
          <w:color w:val="auto"/>
        </w:rPr>
      </w:pPr>
      <w:r>
        <w:rPr>
          <w:rFonts w:hint="eastAsia"/>
          <w:color w:val="auto"/>
        </w:rPr>
        <w:t>④不应在现场燃烧废弃物</w:t>
      </w:r>
    </w:p>
    <w:p w14:paraId="450FEF7A">
      <w:pPr>
        <w:ind w:firstLine="480"/>
        <w:rPr>
          <w:rFonts w:hint="eastAsia"/>
          <w:color w:val="auto"/>
        </w:rPr>
      </w:pPr>
      <w:r>
        <w:rPr>
          <w:rFonts w:hint="eastAsia"/>
          <w:color w:val="auto"/>
        </w:rPr>
        <w:t>现场产生的废弃物分类存放，委托有资质单位进行统一消纳处理；</w:t>
      </w:r>
    </w:p>
    <w:p w14:paraId="53211162">
      <w:pPr>
        <w:ind w:firstLine="480"/>
        <w:rPr>
          <w:rFonts w:hint="eastAsia"/>
          <w:color w:val="auto"/>
        </w:rPr>
      </w:pPr>
      <w:r>
        <w:rPr>
          <w:rFonts w:hint="eastAsia"/>
          <w:color w:val="auto"/>
        </w:rPr>
        <w:t>现场安排保安进行24小时巡逻，严禁在现场燃烧废弃物，违者将按相关规定处理。</w:t>
      </w:r>
    </w:p>
    <w:p w14:paraId="46493B8B">
      <w:pPr>
        <w:ind w:firstLine="480"/>
        <w:rPr>
          <w:rFonts w:hint="eastAsia"/>
          <w:color w:val="auto"/>
        </w:rPr>
      </w:pPr>
      <w:r>
        <w:rPr>
          <w:rFonts w:hint="eastAsia"/>
          <w:color w:val="auto"/>
        </w:rPr>
        <w:t>（5）建筑垃圾处置</w:t>
      </w:r>
    </w:p>
    <w:p w14:paraId="308766A2">
      <w:pPr>
        <w:ind w:firstLine="480"/>
        <w:rPr>
          <w:rFonts w:hint="eastAsia"/>
          <w:color w:val="auto"/>
        </w:rPr>
      </w:pPr>
      <w:r>
        <w:rPr>
          <w:rFonts w:hint="eastAsia"/>
          <w:color w:val="auto"/>
        </w:rPr>
        <w:t>①建筑垃圾应分类收集、集中堆放</w:t>
      </w:r>
    </w:p>
    <w:p w14:paraId="2EC7DBC1">
      <w:pPr>
        <w:ind w:firstLine="480"/>
        <w:rPr>
          <w:rFonts w:hint="eastAsia"/>
          <w:color w:val="auto"/>
        </w:rPr>
      </w:pPr>
      <w:r>
        <w:rPr>
          <w:rFonts w:hint="eastAsia"/>
          <w:color w:val="auto"/>
        </w:rPr>
        <w:t>设置建筑垃圾堆放点。</w:t>
      </w:r>
    </w:p>
    <w:p w14:paraId="25663F0A">
      <w:pPr>
        <w:ind w:firstLine="480"/>
        <w:rPr>
          <w:rFonts w:hint="eastAsia"/>
          <w:color w:val="auto"/>
        </w:rPr>
      </w:pPr>
      <w:r>
        <w:rPr>
          <w:rFonts w:hint="eastAsia"/>
          <w:color w:val="auto"/>
        </w:rPr>
        <w:t>按照可回收、不可回收、有毒有害等进行分类堆放。</w:t>
      </w:r>
    </w:p>
    <w:p w14:paraId="0D178A32">
      <w:pPr>
        <w:ind w:firstLine="480"/>
        <w:rPr>
          <w:rFonts w:hint="eastAsia"/>
          <w:color w:val="auto"/>
        </w:rPr>
      </w:pPr>
      <w:r>
        <w:rPr>
          <w:rFonts w:hint="eastAsia"/>
          <w:color w:val="auto"/>
        </w:rPr>
        <w:t>②废电池、废墨盒等有毒有害的废弃物应封闭回收，不应混放</w:t>
      </w:r>
    </w:p>
    <w:p w14:paraId="0FC15790">
      <w:pPr>
        <w:ind w:firstLine="480"/>
        <w:rPr>
          <w:rFonts w:hint="eastAsia"/>
          <w:color w:val="auto"/>
        </w:rPr>
      </w:pPr>
      <w:r>
        <w:rPr>
          <w:rFonts w:hint="eastAsia"/>
          <w:color w:val="auto"/>
        </w:rPr>
        <w:t>生活区后勤负责人应注意废电池、废墨盒等有害废弃物的回收且不应和其他东西混放。</w:t>
      </w:r>
    </w:p>
    <w:p w14:paraId="1E17DCFC">
      <w:pPr>
        <w:ind w:firstLine="480"/>
        <w:rPr>
          <w:rFonts w:hint="eastAsia"/>
          <w:color w:val="auto"/>
        </w:rPr>
      </w:pPr>
      <w:r>
        <w:rPr>
          <w:rFonts w:hint="eastAsia"/>
          <w:color w:val="auto"/>
        </w:rPr>
        <w:t>③有毒有害废物分类率应达到100%</w:t>
      </w:r>
    </w:p>
    <w:p w14:paraId="62AE475F">
      <w:pPr>
        <w:ind w:firstLine="480"/>
        <w:rPr>
          <w:rFonts w:hint="eastAsia"/>
          <w:color w:val="auto"/>
        </w:rPr>
      </w:pPr>
      <w:r>
        <w:rPr>
          <w:rFonts w:hint="eastAsia"/>
          <w:color w:val="auto"/>
        </w:rPr>
        <w:t>根据现场材料进场情况进行登记汇总管理，针对产生有毒有害废物的材料进行跟踪管理，并制定相应的分类处理措施；</w:t>
      </w:r>
    </w:p>
    <w:p w14:paraId="5BBA0F8D">
      <w:pPr>
        <w:ind w:firstLine="480"/>
        <w:rPr>
          <w:rFonts w:hint="eastAsia"/>
          <w:color w:val="auto"/>
        </w:rPr>
      </w:pPr>
      <w:r>
        <w:rPr>
          <w:rFonts w:hint="eastAsia"/>
          <w:color w:val="auto"/>
        </w:rPr>
        <w:t>对现场可能产生的废弃物进行挂牌公示，并设置专用的回收装置，并对施工现场工人及管理人员进行管理，避免有毒有害物质未按要求进行处理。</w:t>
      </w:r>
    </w:p>
    <w:p w14:paraId="1817BE20">
      <w:pPr>
        <w:ind w:firstLine="480"/>
        <w:rPr>
          <w:rFonts w:hint="eastAsia"/>
          <w:color w:val="auto"/>
        </w:rPr>
      </w:pPr>
      <w:r>
        <w:rPr>
          <w:rFonts w:hint="eastAsia"/>
          <w:color w:val="auto"/>
        </w:rPr>
        <w:t>④垃圾桶应分为可回收利用与不可回收利用两类，应定期清运</w:t>
      </w:r>
    </w:p>
    <w:p w14:paraId="76F310A2">
      <w:pPr>
        <w:ind w:firstLine="480"/>
        <w:rPr>
          <w:rFonts w:hint="eastAsia"/>
          <w:color w:val="auto"/>
        </w:rPr>
      </w:pPr>
      <w:r>
        <w:rPr>
          <w:rFonts w:hint="eastAsia"/>
          <w:color w:val="auto"/>
        </w:rPr>
        <w:t>将生产垃圾与生活垃圾进行分开处理，进行分类，分为可回收和不可回收两类，并委托垃圾清运单位定期安排专用车辆进行清运。</w:t>
      </w:r>
    </w:p>
    <w:p w14:paraId="34106A2C">
      <w:pPr>
        <w:ind w:firstLine="480"/>
        <w:rPr>
          <w:rFonts w:hint="eastAsia"/>
          <w:color w:val="auto"/>
        </w:rPr>
      </w:pPr>
      <w:r>
        <w:rPr>
          <w:rFonts w:hint="eastAsia"/>
          <w:color w:val="auto"/>
        </w:rPr>
        <w:t>⑤建筑垃圾回收利用率应达到30%</w:t>
      </w:r>
    </w:p>
    <w:p w14:paraId="2987874B">
      <w:pPr>
        <w:ind w:firstLine="480"/>
        <w:rPr>
          <w:rFonts w:hint="eastAsia"/>
          <w:color w:val="auto"/>
        </w:rPr>
      </w:pPr>
      <w:r>
        <w:rPr>
          <w:rFonts w:hint="eastAsia"/>
          <w:color w:val="auto"/>
        </w:rPr>
        <w:t>每月评价表进行打分，自评报告中进行估算，每月建筑垃圾回收利用率应不小于30%。。</w:t>
      </w:r>
    </w:p>
    <w:p w14:paraId="1D62FB70">
      <w:pPr>
        <w:ind w:firstLine="480"/>
        <w:rPr>
          <w:rFonts w:hint="eastAsia"/>
          <w:color w:val="auto"/>
        </w:rPr>
      </w:pPr>
      <w:r>
        <w:rPr>
          <w:rFonts w:hint="eastAsia"/>
          <w:color w:val="auto"/>
        </w:rPr>
        <w:t>桩头破除的混凝土块用于施工道路、车间等的铺设，砌体废料粉碎后用于屋面找平层。</w:t>
      </w:r>
    </w:p>
    <w:p w14:paraId="23449FB3">
      <w:pPr>
        <w:ind w:firstLine="480"/>
        <w:rPr>
          <w:rFonts w:hint="eastAsia"/>
          <w:color w:val="auto"/>
        </w:rPr>
      </w:pPr>
      <w:r>
        <w:rPr>
          <w:rFonts w:hint="eastAsia"/>
          <w:color w:val="auto"/>
        </w:rPr>
        <w:t>模板角料用于墙柱阴阳角、楼梯等部位的防护模板。</w:t>
      </w:r>
    </w:p>
    <w:p w14:paraId="6C920E56">
      <w:pPr>
        <w:ind w:firstLine="480"/>
        <w:rPr>
          <w:rFonts w:hint="eastAsia"/>
          <w:color w:val="auto"/>
        </w:rPr>
      </w:pPr>
      <w:r>
        <w:rPr>
          <w:rFonts w:hint="eastAsia"/>
          <w:color w:val="auto"/>
        </w:rPr>
        <w:t>⑥碎石或土方类等应用作地基和路基回填材料</w:t>
      </w:r>
    </w:p>
    <w:p w14:paraId="7DBAA1AB">
      <w:pPr>
        <w:ind w:firstLine="480"/>
        <w:rPr>
          <w:rFonts w:hint="eastAsia"/>
          <w:color w:val="auto"/>
        </w:rPr>
      </w:pPr>
      <w:r>
        <w:rPr>
          <w:rFonts w:hint="eastAsia"/>
          <w:color w:val="auto"/>
        </w:rPr>
        <w:t>根据现场碎石及土方进行规划，用于肥槽及路基回填。</w:t>
      </w:r>
    </w:p>
    <w:p w14:paraId="1DFF18E8">
      <w:pPr>
        <w:ind w:firstLine="480"/>
        <w:rPr>
          <w:rFonts w:hint="eastAsia"/>
          <w:color w:val="auto"/>
        </w:rPr>
      </w:pPr>
      <w:r>
        <w:rPr>
          <w:rFonts w:hint="eastAsia"/>
          <w:color w:val="auto"/>
        </w:rPr>
        <w:t>（6）污水排放</w:t>
      </w:r>
    </w:p>
    <w:p w14:paraId="41683403">
      <w:pPr>
        <w:ind w:firstLine="480"/>
        <w:rPr>
          <w:rFonts w:hint="eastAsia"/>
          <w:color w:val="auto"/>
        </w:rPr>
      </w:pPr>
      <w:r>
        <w:rPr>
          <w:rFonts w:hint="eastAsia"/>
          <w:color w:val="auto"/>
        </w:rPr>
        <w:t>①现场道路和材料堆放场地周边应设排水沟</w:t>
      </w:r>
    </w:p>
    <w:p w14:paraId="5ED30964">
      <w:pPr>
        <w:ind w:firstLine="480"/>
        <w:rPr>
          <w:rFonts w:hint="eastAsia"/>
          <w:color w:val="auto"/>
        </w:rPr>
      </w:pPr>
      <w:r>
        <w:rPr>
          <w:rFonts w:hint="eastAsia"/>
          <w:color w:val="auto"/>
        </w:rPr>
        <w:t>排水沟尺寸：宽300mm、深300mm，底部填3-5mm石屑，沟内排水坡度3‰。</w:t>
      </w:r>
    </w:p>
    <w:p w14:paraId="060EE3AD">
      <w:pPr>
        <w:ind w:firstLine="480"/>
        <w:rPr>
          <w:rFonts w:hint="eastAsia"/>
          <w:color w:val="auto"/>
        </w:rPr>
      </w:pPr>
      <w:r>
        <w:rPr>
          <w:rFonts w:hint="eastAsia"/>
          <w:color w:val="auto"/>
        </w:rPr>
        <w:t>②工程污水和试验室养护用水应经处理达标后排入市政污水管道</w:t>
      </w:r>
    </w:p>
    <w:p w14:paraId="2456BD76">
      <w:pPr>
        <w:ind w:firstLine="480"/>
        <w:rPr>
          <w:rFonts w:hint="eastAsia"/>
          <w:color w:val="auto"/>
        </w:rPr>
      </w:pPr>
      <w:r>
        <w:rPr>
          <w:rFonts w:hint="eastAsia"/>
          <w:color w:val="auto"/>
        </w:rPr>
        <w:t>现场设置沉淀池，基坑降水、实验室养护用水必须经过沉淀、净化后方可排向市政管网。</w:t>
      </w:r>
    </w:p>
    <w:p w14:paraId="37611F3C">
      <w:pPr>
        <w:ind w:firstLine="480"/>
        <w:rPr>
          <w:rFonts w:hint="eastAsia"/>
          <w:color w:val="auto"/>
        </w:rPr>
      </w:pPr>
      <w:r>
        <w:rPr>
          <w:rFonts w:hint="eastAsia"/>
          <w:color w:val="auto"/>
        </w:rPr>
        <w:t>③现场厕所应设置化粪池，化粪池应定期清理</w:t>
      </w:r>
    </w:p>
    <w:p w14:paraId="39DE9FB1">
      <w:pPr>
        <w:ind w:firstLine="480"/>
        <w:rPr>
          <w:rFonts w:hint="eastAsia"/>
          <w:color w:val="auto"/>
        </w:rPr>
      </w:pPr>
      <w:r>
        <w:rPr>
          <w:rFonts w:hint="eastAsia"/>
          <w:color w:val="auto"/>
        </w:rPr>
        <w:t>平面布置时统筹考虑化粪池的设置位置，并进行详细计算，做到使用方便，便于处理。</w:t>
      </w:r>
    </w:p>
    <w:p w14:paraId="1FD2DC64">
      <w:pPr>
        <w:ind w:firstLine="480"/>
        <w:rPr>
          <w:rFonts w:hint="eastAsia"/>
          <w:color w:val="auto"/>
        </w:rPr>
      </w:pPr>
      <w:r>
        <w:rPr>
          <w:rFonts w:hint="eastAsia"/>
          <w:color w:val="auto"/>
        </w:rPr>
        <w:t>现场厕所按照要求一厕所设置一化粪池，并委托有资质的专业单位每周清理。</w:t>
      </w:r>
    </w:p>
    <w:p w14:paraId="4070C49A">
      <w:pPr>
        <w:ind w:firstLine="480"/>
        <w:rPr>
          <w:rFonts w:hint="eastAsia"/>
          <w:color w:val="auto"/>
        </w:rPr>
      </w:pPr>
      <w:r>
        <w:rPr>
          <w:rFonts w:hint="eastAsia"/>
          <w:color w:val="auto"/>
        </w:rPr>
        <w:t>④工地厨房应设隔油池，应定期清理。</w:t>
      </w:r>
    </w:p>
    <w:p w14:paraId="48E7738F">
      <w:pPr>
        <w:ind w:firstLine="480"/>
        <w:rPr>
          <w:rFonts w:hint="eastAsia"/>
          <w:color w:val="auto"/>
        </w:rPr>
      </w:pPr>
      <w:r>
        <w:rPr>
          <w:rFonts w:hint="eastAsia"/>
          <w:color w:val="auto"/>
        </w:rPr>
        <w:t>⑤雨水、污水应分流排放</w:t>
      </w:r>
    </w:p>
    <w:p w14:paraId="6C1CFF0A">
      <w:pPr>
        <w:ind w:firstLine="480"/>
        <w:rPr>
          <w:rFonts w:hint="eastAsia"/>
          <w:color w:val="auto"/>
        </w:rPr>
      </w:pPr>
      <w:r>
        <w:rPr>
          <w:rFonts w:hint="eastAsia"/>
          <w:color w:val="auto"/>
        </w:rPr>
        <w:t>根据施工阶段对现场进行规划，通过自然找坡及排水沟进行雨水的收集，并经过沉淀等处理，进行绿化灌溉、道路扬尘控制等二次利用。</w:t>
      </w:r>
    </w:p>
    <w:p w14:paraId="724BBB32">
      <w:pPr>
        <w:ind w:firstLine="480"/>
        <w:rPr>
          <w:rFonts w:hint="eastAsia"/>
          <w:color w:val="auto"/>
        </w:rPr>
      </w:pPr>
      <w:r>
        <w:rPr>
          <w:rFonts w:hint="eastAsia"/>
          <w:color w:val="auto"/>
        </w:rPr>
        <w:t>根据污水种类的不同，对污水进行分类处理，经检验合格后用于绿化灌溉、道路扬尘控制及施工用水。</w:t>
      </w:r>
    </w:p>
    <w:p w14:paraId="55A88538">
      <w:pPr>
        <w:ind w:firstLine="480"/>
        <w:rPr>
          <w:rFonts w:hint="eastAsia"/>
          <w:color w:val="auto"/>
        </w:rPr>
      </w:pPr>
      <w:r>
        <w:rPr>
          <w:rFonts w:hint="eastAsia"/>
          <w:color w:val="auto"/>
        </w:rPr>
        <w:t>（7）光污染</w:t>
      </w:r>
    </w:p>
    <w:p w14:paraId="391D2BCA">
      <w:pPr>
        <w:ind w:firstLine="480"/>
        <w:rPr>
          <w:rFonts w:hint="eastAsia"/>
          <w:color w:val="auto"/>
        </w:rPr>
      </w:pPr>
      <w:r>
        <w:rPr>
          <w:rFonts w:hint="eastAsia"/>
          <w:color w:val="auto"/>
        </w:rPr>
        <w:t>①夜间焊接作业时，应采取挡光措施</w:t>
      </w:r>
    </w:p>
    <w:p w14:paraId="2D5E2132">
      <w:pPr>
        <w:ind w:firstLine="480"/>
        <w:rPr>
          <w:rFonts w:hint="eastAsia"/>
          <w:color w:val="auto"/>
        </w:rPr>
      </w:pPr>
      <w:r>
        <w:rPr>
          <w:rFonts w:hint="eastAsia"/>
          <w:color w:val="auto"/>
        </w:rPr>
        <w:t>合理协调各施工工序，一般情况下夜间不采取焊接作业；</w:t>
      </w:r>
    </w:p>
    <w:p w14:paraId="5AF8EFC4">
      <w:pPr>
        <w:ind w:firstLine="480"/>
        <w:rPr>
          <w:rFonts w:hint="eastAsia"/>
          <w:color w:val="auto"/>
        </w:rPr>
      </w:pPr>
      <w:r>
        <w:rPr>
          <w:rFonts w:hint="eastAsia"/>
          <w:color w:val="auto"/>
        </w:rPr>
        <w:t>夜间电焊作业时采用铁制遮光棚，罩挡光和屏蔽电焊产生的高次谐波。</w:t>
      </w:r>
    </w:p>
    <w:p w14:paraId="34766A41">
      <w:pPr>
        <w:ind w:firstLine="480"/>
        <w:rPr>
          <w:rFonts w:hint="eastAsia"/>
          <w:color w:val="auto"/>
        </w:rPr>
      </w:pPr>
      <w:r>
        <w:rPr>
          <w:rFonts w:hint="eastAsia"/>
          <w:color w:val="auto"/>
        </w:rPr>
        <w:t>②工地设置大型照明灯具时，应有防止强光线外泄的措施</w:t>
      </w:r>
    </w:p>
    <w:p w14:paraId="1B6EC7E0">
      <w:pPr>
        <w:ind w:firstLine="480"/>
        <w:rPr>
          <w:rFonts w:hint="eastAsia"/>
          <w:color w:val="auto"/>
        </w:rPr>
      </w:pPr>
      <w:r>
        <w:rPr>
          <w:rFonts w:hint="eastAsia"/>
          <w:color w:val="auto"/>
        </w:rPr>
        <w:t>现场塔吊等部位悬挂的镝灯等大型照明工具配置微型电脑定时开关；</w:t>
      </w:r>
    </w:p>
    <w:p w14:paraId="392959F1">
      <w:pPr>
        <w:ind w:firstLine="480"/>
        <w:rPr>
          <w:rFonts w:hint="eastAsia"/>
          <w:color w:val="auto"/>
        </w:rPr>
      </w:pPr>
      <w:r>
        <w:rPr>
          <w:rFonts w:hint="eastAsia"/>
          <w:color w:val="auto"/>
        </w:rPr>
        <w:t>灯光射向指向现场，有效控制光外泄以及对周围居民生活干扰。</w:t>
      </w:r>
    </w:p>
    <w:p w14:paraId="15E92B40">
      <w:pPr>
        <w:ind w:firstLine="480"/>
        <w:rPr>
          <w:rFonts w:hint="eastAsia"/>
          <w:color w:val="auto"/>
        </w:rPr>
      </w:pPr>
      <w:r>
        <w:rPr>
          <w:rFonts w:hint="eastAsia"/>
          <w:color w:val="auto"/>
        </w:rPr>
        <w:t>（8）噪音控制</w:t>
      </w:r>
    </w:p>
    <w:p w14:paraId="0BF72BA2">
      <w:pPr>
        <w:ind w:firstLine="480"/>
        <w:rPr>
          <w:rFonts w:hint="eastAsia"/>
          <w:color w:val="auto"/>
        </w:rPr>
      </w:pPr>
      <w:r>
        <w:rPr>
          <w:rFonts w:hint="eastAsia"/>
          <w:color w:val="auto"/>
        </w:rPr>
        <w:t>①应采用先进机械、低噪音设备进行施工，机械、设备应定期保养维护</w:t>
      </w:r>
    </w:p>
    <w:p w14:paraId="1E1B3635">
      <w:pPr>
        <w:ind w:firstLine="480"/>
        <w:rPr>
          <w:rFonts w:hint="eastAsia"/>
          <w:color w:val="auto"/>
        </w:rPr>
      </w:pPr>
      <w:r>
        <w:rPr>
          <w:rFonts w:hint="eastAsia"/>
          <w:color w:val="auto"/>
        </w:rPr>
        <w:t>制定机械设备保养维护制度，配备专职维修员定期保养维修，确保机械、设备处于正常工作状态；</w:t>
      </w:r>
    </w:p>
    <w:p w14:paraId="503B3EB7">
      <w:pPr>
        <w:ind w:firstLine="480"/>
        <w:rPr>
          <w:rFonts w:hint="eastAsia"/>
          <w:color w:val="auto"/>
        </w:rPr>
      </w:pPr>
      <w:r>
        <w:rPr>
          <w:rFonts w:hint="eastAsia"/>
          <w:color w:val="auto"/>
        </w:rPr>
        <w:t>选用三年以内性能良好的机械设备。</w:t>
      </w:r>
    </w:p>
    <w:p w14:paraId="132A5CBE">
      <w:pPr>
        <w:ind w:firstLine="480"/>
        <w:rPr>
          <w:rFonts w:hint="eastAsia"/>
          <w:color w:val="auto"/>
        </w:rPr>
      </w:pPr>
      <w:r>
        <w:rPr>
          <w:rFonts w:hint="eastAsia"/>
          <w:color w:val="auto"/>
        </w:rPr>
        <w:t>②产生噪音较大的机械设备，应尽量远离施工现场办公区、生活区和周边住宅区</w:t>
      </w:r>
    </w:p>
    <w:p w14:paraId="42C2DAA6">
      <w:pPr>
        <w:ind w:firstLine="480"/>
        <w:rPr>
          <w:rFonts w:hint="eastAsia"/>
          <w:color w:val="auto"/>
        </w:rPr>
      </w:pPr>
      <w:r>
        <w:rPr>
          <w:rFonts w:hint="eastAsia"/>
          <w:color w:val="auto"/>
        </w:rPr>
        <w:t>土方机械等，布置距离办公区、生活区至少30米。</w:t>
      </w:r>
    </w:p>
    <w:p w14:paraId="7C84E169">
      <w:pPr>
        <w:ind w:firstLine="480"/>
        <w:rPr>
          <w:rFonts w:hint="eastAsia"/>
          <w:color w:val="auto"/>
        </w:rPr>
      </w:pPr>
      <w:r>
        <w:rPr>
          <w:rFonts w:hint="eastAsia"/>
          <w:color w:val="auto"/>
        </w:rPr>
        <w:t>③混凝土输送泵、电锯房等应设有吸声降噪屏或其他降噪措施</w:t>
      </w:r>
    </w:p>
    <w:p w14:paraId="43F757E3">
      <w:pPr>
        <w:ind w:firstLine="480"/>
        <w:rPr>
          <w:rFonts w:hint="eastAsia"/>
          <w:color w:val="auto"/>
        </w:rPr>
      </w:pPr>
      <w:r>
        <w:rPr>
          <w:rFonts w:hint="eastAsia"/>
          <w:color w:val="auto"/>
        </w:rPr>
        <w:t>混凝土输送泵采取积极隔音和消声措施，隔音棚有4层防护，包括两层5cm的岩棉，一层多层板和龙骨架支起的多层帆布；</w:t>
      </w:r>
    </w:p>
    <w:p w14:paraId="743D36FF">
      <w:pPr>
        <w:ind w:firstLine="480"/>
        <w:rPr>
          <w:rFonts w:hint="eastAsia"/>
          <w:color w:val="auto"/>
        </w:rPr>
      </w:pPr>
      <w:r>
        <w:rPr>
          <w:rFonts w:hint="eastAsia"/>
          <w:color w:val="auto"/>
        </w:rPr>
        <w:t>设置封闭式木工加工棚（采用彩板房搭设）。</w:t>
      </w:r>
    </w:p>
    <w:p w14:paraId="35B0D57C">
      <w:pPr>
        <w:ind w:firstLine="480"/>
        <w:rPr>
          <w:rFonts w:hint="eastAsia"/>
          <w:color w:val="auto"/>
        </w:rPr>
      </w:pPr>
      <w:r>
        <w:rPr>
          <w:rFonts w:hint="eastAsia"/>
          <w:color w:val="auto"/>
        </w:rPr>
        <w:t>④夜间施工噪声声强值应符合国家有关规定</w:t>
      </w:r>
    </w:p>
    <w:p w14:paraId="7BE40089">
      <w:pPr>
        <w:ind w:firstLine="480"/>
        <w:rPr>
          <w:rFonts w:hint="eastAsia"/>
          <w:color w:val="auto"/>
        </w:rPr>
      </w:pPr>
      <w:r>
        <w:rPr>
          <w:rFonts w:hint="eastAsia"/>
          <w:color w:val="auto"/>
        </w:rPr>
        <w:t>进行施工安排时，应尽量避免夜间施工；如果必须夜间施工，应适当调整施工顺序或时间安排，夜间进行噪音小的施工作业；</w:t>
      </w:r>
    </w:p>
    <w:p w14:paraId="0099519E">
      <w:pPr>
        <w:ind w:firstLine="480"/>
        <w:rPr>
          <w:rFonts w:hint="eastAsia"/>
          <w:color w:val="auto"/>
        </w:rPr>
      </w:pPr>
      <w:r>
        <w:rPr>
          <w:rFonts w:hint="eastAsia"/>
          <w:color w:val="auto"/>
        </w:rPr>
        <w:t>对现场周边进行不间断噪声监测。</w:t>
      </w:r>
    </w:p>
    <w:p w14:paraId="0C9FD948">
      <w:pPr>
        <w:ind w:firstLine="480"/>
        <w:rPr>
          <w:rFonts w:hint="eastAsia"/>
          <w:color w:val="auto"/>
        </w:rPr>
      </w:pPr>
      <w:r>
        <w:rPr>
          <w:rFonts w:hint="eastAsia"/>
          <w:color w:val="auto"/>
        </w:rPr>
        <w:t>⑤吊装作业指挥应使用对讲机传达指令</w:t>
      </w:r>
    </w:p>
    <w:p w14:paraId="2E22673A">
      <w:pPr>
        <w:ind w:firstLine="480"/>
        <w:rPr>
          <w:rFonts w:hint="eastAsia"/>
          <w:color w:val="auto"/>
        </w:rPr>
      </w:pPr>
      <w:r>
        <w:rPr>
          <w:rFonts w:hint="eastAsia"/>
          <w:color w:val="auto"/>
        </w:rPr>
        <w:t>对现场塔吊、吊车操作人员及指挥人员配备对讲机来传达指令。</w:t>
      </w:r>
    </w:p>
    <w:p w14:paraId="60DA6854">
      <w:pPr>
        <w:ind w:firstLine="480"/>
        <w:rPr>
          <w:rFonts w:hint="eastAsia"/>
          <w:color w:val="auto"/>
        </w:rPr>
      </w:pPr>
      <w:r>
        <w:rPr>
          <w:rFonts w:hint="eastAsia"/>
          <w:color w:val="auto"/>
        </w:rPr>
        <w:t>（9）施工现场应设置连续、密闭能有效隔绝各类污染的围挡</w:t>
      </w:r>
    </w:p>
    <w:p w14:paraId="0615C7D0">
      <w:pPr>
        <w:ind w:firstLine="480"/>
        <w:rPr>
          <w:rFonts w:hint="eastAsia"/>
          <w:color w:val="auto"/>
        </w:rPr>
      </w:pPr>
      <w:r>
        <w:rPr>
          <w:rFonts w:hint="eastAsia"/>
          <w:color w:val="auto"/>
        </w:rPr>
        <w:t>措施</w:t>
      </w:r>
      <w:r>
        <w:rPr>
          <w:rFonts w:hint="eastAsia"/>
          <w:color w:val="auto"/>
        </w:rPr>
        <w:tab/>
      </w:r>
      <w:r>
        <w:rPr>
          <w:rFonts w:hint="eastAsia"/>
          <w:color w:val="auto"/>
        </w:rPr>
        <w:t>现场可采用砖砌、装配式围挡或广告牌作为围挡，临街侧设置密目安全网进行隔声。</w:t>
      </w:r>
    </w:p>
    <w:p w14:paraId="142DDF07">
      <w:pPr>
        <w:ind w:firstLine="480"/>
        <w:rPr>
          <w:rFonts w:hint="eastAsia"/>
          <w:color w:val="auto"/>
        </w:rPr>
      </w:pPr>
      <w:r>
        <w:rPr>
          <w:rFonts w:hint="eastAsia"/>
          <w:color w:val="auto"/>
        </w:rPr>
        <w:t>（10）施工中，开挖土方应合理回填利用</w:t>
      </w:r>
    </w:p>
    <w:p w14:paraId="2A633093">
      <w:pPr>
        <w:ind w:firstLine="480"/>
        <w:rPr>
          <w:rFonts w:hint="eastAsia"/>
          <w:color w:val="auto"/>
        </w:rPr>
      </w:pPr>
      <w:r>
        <w:rPr>
          <w:rFonts w:hint="eastAsia"/>
          <w:color w:val="auto"/>
        </w:rPr>
        <w:t>①现场有场地的情况下，基坑开挖土方考虑现场堆放，后期土方回填使用现场堆土；</w:t>
      </w:r>
    </w:p>
    <w:p w14:paraId="4855A015">
      <w:pPr>
        <w:ind w:firstLine="480"/>
        <w:rPr>
          <w:rFonts w:hint="eastAsia"/>
          <w:color w:val="auto"/>
        </w:rPr>
      </w:pPr>
      <w:r>
        <w:rPr>
          <w:rFonts w:hint="eastAsia"/>
          <w:color w:val="auto"/>
        </w:rPr>
        <w:t>②现场无场地堆放土方时，考虑场外制定场地卸土。如附近有其他公司正在土方回填施工，应转运至其他工地使用。</w:t>
      </w:r>
    </w:p>
    <w:p w14:paraId="61A4540E">
      <w:pPr>
        <w:ind w:firstLine="480"/>
        <w:rPr>
          <w:rFonts w:hint="eastAsia"/>
          <w:color w:val="auto"/>
        </w:rPr>
      </w:pPr>
      <w:r>
        <w:rPr>
          <w:rFonts w:hint="eastAsia"/>
          <w:color w:val="auto"/>
        </w:rPr>
        <w:t>4、优选项</w:t>
      </w:r>
    </w:p>
    <w:p w14:paraId="29B12F1C">
      <w:pPr>
        <w:ind w:firstLine="480"/>
        <w:rPr>
          <w:rFonts w:hint="eastAsia"/>
          <w:color w:val="auto"/>
        </w:rPr>
      </w:pPr>
      <w:r>
        <w:rPr>
          <w:rFonts w:hint="eastAsia"/>
          <w:color w:val="auto"/>
        </w:rPr>
        <w:t>（1）施工作业面应设置隔声设施</w:t>
      </w:r>
    </w:p>
    <w:p w14:paraId="05378D82">
      <w:pPr>
        <w:ind w:firstLine="480"/>
        <w:rPr>
          <w:rFonts w:hint="eastAsia"/>
          <w:color w:val="auto"/>
        </w:rPr>
      </w:pPr>
      <w:r>
        <w:rPr>
          <w:rFonts w:hint="eastAsia"/>
          <w:color w:val="auto"/>
        </w:rPr>
        <w:t>①模板、木枋加工车间采用封闭式板房；</w:t>
      </w:r>
    </w:p>
    <w:p w14:paraId="426FA1DD">
      <w:pPr>
        <w:ind w:firstLine="480"/>
        <w:rPr>
          <w:rFonts w:hint="eastAsia"/>
          <w:color w:val="auto"/>
        </w:rPr>
      </w:pPr>
      <w:r>
        <w:rPr>
          <w:rFonts w:hint="eastAsia"/>
          <w:color w:val="auto"/>
        </w:rPr>
        <w:t>②钢筋加工车间周边设置可移动隔音屏；</w:t>
      </w:r>
    </w:p>
    <w:p w14:paraId="1B0C0A2A">
      <w:pPr>
        <w:ind w:firstLine="480"/>
        <w:rPr>
          <w:rFonts w:hint="eastAsia"/>
          <w:color w:val="auto"/>
        </w:rPr>
      </w:pPr>
      <w:r>
        <w:rPr>
          <w:rFonts w:hint="eastAsia"/>
          <w:color w:val="auto"/>
        </w:rPr>
        <w:t>③施工作业面安全网采用密目安全网。</w:t>
      </w:r>
    </w:p>
    <w:p w14:paraId="0E98B783">
      <w:pPr>
        <w:ind w:firstLine="480"/>
        <w:rPr>
          <w:rFonts w:hint="eastAsia"/>
          <w:color w:val="auto"/>
        </w:rPr>
      </w:pPr>
      <w:r>
        <w:rPr>
          <w:rFonts w:hint="eastAsia"/>
          <w:color w:val="auto"/>
        </w:rPr>
        <w:t>（2）现场应设噪音监测点，并应实施动态监测</w:t>
      </w:r>
    </w:p>
    <w:p w14:paraId="2B90A789">
      <w:pPr>
        <w:ind w:firstLine="480"/>
        <w:rPr>
          <w:rFonts w:hint="eastAsia"/>
          <w:color w:val="auto"/>
        </w:rPr>
      </w:pPr>
      <w:r>
        <w:rPr>
          <w:rFonts w:hint="eastAsia"/>
          <w:color w:val="auto"/>
        </w:rPr>
        <w:t>①绘制噪音监测点平面布置图，应在主要噪音源设置，如钢筋加工车间、木工加工车间、混凝土输送泵作业点、邻近周边建筑、生活区位置等；</w:t>
      </w:r>
    </w:p>
    <w:p w14:paraId="233D2AF8">
      <w:pPr>
        <w:ind w:firstLine="480"/>
        <w:rPr>
          <w:rFonts w:hint="eastAsia"/>
          <w:color w:val="auto"/>
        </w:rPr>
      </w:pPr>
      <w:r>
        <w:rPr>
          <w:rFonts w:hint="eastAsia"/>
          <w:color w:val="auto"/>
        </w:rPr>
        <w:t>②制定噪音监测方案，明确监测周期及噪音限制值，安排专人定时定点监测并记录；一旦发生噪音超出范围，则应采取措施。</w:t>
      </w:r>
    </w:p>
    <w:p w14:paraId="2C43D1C8">
      <w:pPr>
        <w:ind w:firstLine="480"/>
        <w:rPr>
          <w:rFonts w:hint="eastAsia"/>
          <w:color w:val="auto"/>
        </w:rPr>
      </w:pPr>
      <w:r>
        <w:rPr>
          <w:rFonts w:hint="eastAsia"/>
          <w:color w:val="auto"/>
        </w:rPr>
        <w:t>（3）现场应有医务室，人员健康应急预案应完善</w:t>
      </w:r>
    </w:p>
    <w:p w14:paraId="254AFE16">
      <w:pPr>
        <w:ind w:firstLine="480"/>
        <w:rPr>
          <w:rFonts w:hint="eastAsia"/>
          <w:color w:val="auto"/>
        </w:rPr>
      </w:pPr>
      <w:r>
        <w:rPr>
          <w:rFonts w:hint="eastAsia"/>
          <w:color w:val="auto"/>
        </w:rPr>
        <w:t>①现场设置医务室，配置医务人员（证件齐全）、自动检测设备、药品、急救箱、普通医疗设备等；</w:t>
      </w:r>
    </w:p>
    <w:p w14:paraId="31FC4A85">
      <w:pPr>
        <w:ind w:firstLine="480"/>
        <w:rPr>
          <w:rFonts w:hint="eastAsia"/>
          <w:color w:val="auto"/>
        </w:rPr>
      </w:pPr>
      <w:r>
        <w:rPr>
          <w:rFonts w:hint="eastAsia"/>
          <w:color w:val="auto"/>
        </w:rPr>
        <w:t>②制定人员健康应急预案、应急救援制度，并将应急流程悬挂墙上。</w:t>
      </w:r>
    </w:p>
    <w:p w14:paraId="3B284474">
      <w:pPr>
        <w:ind w:firstLine="480"/>
        <w:rPr>
          <w:rFonts w:hint="eastAsia"/>
          <w:color w:val="auto"/>
        </w:rPr>
      </w:pPr>
      <w:r>
        <w:rPr>
          <w:rFonts w:hint="eastAsia"/>
          <w:color w:val="auto"/>
        </w:rPr>
        <w:t>（4）施工应采取基坑封闭降水措施</w:t>
      </w:r>
    </w:p>
    <w:p w14:paraId="6796F4D2">
      <w:pPr>
        <w:ind w:firstLine="480"/>
        <w:rPr>
          <w:rFonts w:hint="eastAsia"/>
          <w:color w:val="auto"/>
        </w:rPr>
      </w:pPr>
      <w:r>
        <w:rPr>
          <w:rFonts w:hint="eastAsia"/>
          <w:color w:val="auto"/>
        </w:rPr>
        <w:t>设集水坑、排水沟等措施进行降水和排水。</w:t>
      </w:r>
    </w:p>
    <w:p w14:paraId="6110920B">
      <w:pPr>
        <w:ind w:firstLine="480"/>
        <w:rPr>
          <w:rFonts w:hint="eastAsia"/>
          <w:color w:val="auto"/>
        </w:rPr>
      </w:pPr>
      <w:r>
        <w:rPr>
          <w:rFonts w:hint="eastAsia"/>
          <w:color w:val="auto"/>
        </w:rPr>
        <w:t>（5）建筑垃圾回收利用率应达到50%</w:t>
      </w:r>
    </w:p>
    <w:p w14:paraId="7AEC78A5">
      <w:pPr>
        <w:ind w:firstLine="480"/>
        <w:rPr>
          <w:rFonts w:hint="eastAsia"/>
          <w:color w:val="auto"/>
        </w:rPr>
      </w:pPr>
      <w:r>
        <w:rPr>
          <w:rFonts w:hint="eastAsia"/>
          <w:color w:val="auto"/>
        </w:rPr>
        <w:t>①建筑垃圾应分类堆放，在楼层、现场摆放标识牌，对可回收利用的应安排人员清理出来重复使用；如大块旧模板、2m以上木枋等；</w:t>
      </w:r>
    </w:p>
    <w:p w14:paraId="5219605D">
      <w:pPr>
        <w:ind w:firstLine="480"/>
        <w:rPr>
          <w:rFonts w:hint="eastAsia"/>
          <w:color w:val="auto"/>
        </w:rPr>
      </w:pPr>
      <w:r>
        <w:rPr>
          <w:rFonts w:hint="eastAsia"/>
          <w:color w:val="auto"/>
        </w:rPr>
        <w:t>②每月记录建筑垃圾回收利用量并计算相应数据。</w:t>
      </w:r>
    </w:p>
    <w:p w14:paraId="3C91493E">
      <w:pPr>
        <w:ind w:firstLine="480"/>
        <w:rPr>
          <w:rFonts w:hint="eastAsia"/>
          <w:color w:val="auto"/>
        </w:rPr>
      </w:pPr>
      <w:r>
        <w:rPr>
          <w:rFonts w:hint="eastAsia"/>
          <w:color w:val="auto"/>
        </w:rPr>
        <w:t>（6）工程污水应采取去泥沙、除油污、分解有机物、沉淀过滤、酸碱中和等处理方式，实现达标排放。</w:t>
      </w:r>
    </w:p>
    <w:p w14:paraId="37B3E217">
      <w:pPr>
        <w:ind w:firstLine="480"/>
        <w:rPr>
          <w:color w:val="auto"/>
        </w:rPr>
      </w:pPr>
      <w:r>
        <w:rPr>
          <w:rFonts w:hint="eastAsia"/>
          <w:color w:val="auto"/>
        </w:rPr>
        <w:t>设置三级沉淀池，经沉淀处理后进行重复利用或排入市政管网。</w:t>
      </w:r>
    </w:p>
    <w:p w14:paraId="13791263">
      <w:pPr>
        <w:pStyle w:val="7"/>
        <w:rPr>
          <w:color w:val="auto"/>
        </w:rPr>
      </w:pPr>
      <w:bookmarkStart w:id="61" w:name="_Toc27572"/>
      <w:r>
        <w:rPr>
          <w:rFonts w:hint="eastAsia"/>
          <w:color w:val="auto"/>
        </w:rPr>
        <w:t>室内环境质量保护</w:t>
      </w:r>
      <w:bookmarkEnd w:id="61"/>
    </w:p>
    <w:p w14:paraId="54D44A3E">
      <w:pPr>
        <w:ind w:firstLine="480"/>
        <w:rPr>
          <w:rFonts w:hint="eastAsia"/>
          <w:color w:val="auto"/>
        </w:rPr>
      </w:pPr>
      <w:r>
        <w:rPr>
          <w:rFonts w:hint="eastAsia"/>
          <w:color w:val="auto"/>
        </w:rPr>
        <w:t>1、室内空气质量控制</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8452"/>
      </w:tblGrid>
      <w:tr w14:paraId="5BBE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B656006">
            <w:pPr>
              <w:pStyle w:val="6"/>
              <w:spacing w:after="0" w:line="240" w:lineRule="auto"/>
              <w:ind w:firstLine="0" w:firstLineChars="0"/>
              <w:jc w:val="center"/>
              <w:rPr>
                <w:rFonts w:hint="eastAsia"/>
                <w:color w:val="auto"/>
                <w:sz w:val="21"/>
                <w:szCs w:val="21"/>
              </w:rPr>
            </w:pPr>
            <w:r>
              <w:rPr>
                <w:rFonts w:hint="eastAsia"/>
                <w:color w:val="auto"/>
                <w:sz w:val="21"/>
                <w:szCs w:val="21"/>
              </w:rPr>
              <w:t>序号</w:t>
            </w:r>
          </w:p>
        </w:tc>
        <w:tc>
          <w:tcPr>
            <w:tcW w:w="4551" w:type="pct"/>
            <w:tcBorders>
              <w:top w:val="single" w:color="auto" w:sz="4" w:space="0"/>
              <w:left w:val="nil"/>
              <w:bottom w:val="single" w:color="auto" w:sz="4" w:space="0"/>
              <w:right w:val="single" w:color="auto" w:sz="4" w:space="0"/>
            </w:tcBorders>
            <w:noWrap w:val="0"/>
            <w:vAlign w:val="center"/>
          </w:tcPr>
          <w:p w14:paraId="47FA386F">
            <w:pPr>
              <w:pStyle w:val="6"/>
              <w:spacing w:after="0" w:line="240" w:lineRule="auto"/>
              <w:ind w:firstLine="0" w:firstLineChars="0"/>
              <w:jc w:val="center"/>
              <w:rPr>
                <w:rFonts w:hint="eastAsia"/>
                <w:color w:val="auto"/>
                <w:sz w:val="21"/>
                <w:szCs w:val="21"/>
              </w:rPr>
            </w:pPr>
            <w:r>
              <w:rPr>
                <w:rFonts w:hint="eastAsia"/>
                <w:color w:val="auto"/>
                <w:sz w:val="21"/>
                <w:szCs w:val="21"/>
              </w:rPr>
              <w:t>具体措施</w:t>
            </w:r>
          </w:p>
        </w:tc>
      </w:tr>
      <w:tr w14:paraId="7B9A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51A3CBD">
            <w:pPr>
              <w:pStyle w:val="6"/>
              <w:spacing w:after="0" w:line="240" w:lineRule="auto"/>
              <w:ind w:firstLine="0" w:firstLineChars="0"/>
              <w:jc w:val="center"/>
              <w:rPr>
                <w:rFonts w:hint="eastAsia"/>
                <w:color w:val="auto"/>
                <w:sz w:val="21"/>
                <w:szCs w:val="21"/>
              </w:rPr>
            </w:pPr>
            <w:r>
              <w:rPr>
                <w:rFonts w:hint="eastAsia"/>
                <w:color w:val="auto"/>
                <w:sz w:val="21"/>
                <w:szCs w:val="21"/>
              </w:rPr>
              <w:t>1</w:t>
            </w:r>
          </w:p>
        </w:tc>
        <w:tc>
          <w:tcPr>
            <w:tcW w:w="4551" w:type="pct"/>
            <w:tcBorders>
              <w:top w:val="single" w:color="auto" w:sz="4" w:space="0"/>
              <w:left w:val="nil"/>
              <w:bottom w:val="single" w:color="auto" w:sz="4" w:space="0"/>
              <w:right w:val="single" w:color="auto" w:sz="4" w:space="0"/>
            </w:tcBorders>
            <w:noWrap w:val="0"/>
            <w:vAlign w:val="center"/>
          </w:tcPr>
          <w:p w14:paraId="41086647">
            <w:pPr>
              <w:pStyle w:val="6"/>
              <w:spacing w:after="0" w:line="240" w:lineRule="auto"/>
              <w:ind w:firstLine="420"/>
              <w:rPr>
                <w:rFonts w:hint="eastAsia"/>
                <w:color w:val="auto"/>
                <w:sz w:val="21"/>
                <w:szCs w:val="21"/>
              </w:rPr>
            </w:pPr>
            <w:r>
              <w:rPr>
                <w:rFonts w:hint="eastAsia"/>
                <w:color w:val="auto"/>
                <w:sz w:val="21"/>
                <w:szCs w:val="21"/>
              </w:rPr>
              <w:t>施工过程中，严禁在施工场地内吸烟。</w:t>
            </w:r>
          </w:p>
        </w:tc>
      </w:tr>
      <w:tr w14:paraId="31F90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60A4E50">
            <w:pPr>
              <w:pStyle w:val="6"/>
              <w:spacing w:after="0" w:line="240" w:lineRule="auto"/>
              <w:ind w:firstLine="0" w:firstLineChars="0"/>
              <w:jc w:val="center"/>
              <w:rPr>
                <w:rFonts w:hint="eastAsia"/>
                <w:color w:val="auto"/>
                <w:sz w:val="21"/>
                <w:szCs w:val="21"/>
              </w:rPr>
            </w:pPr>
            <w:r>
              <w:rPr>
                <w:rFonts w:hint="eastAsia"/>
                <w:color w:val="auto"/>
                <w:sz w:val="21"/>
                <w:szCs w:val="21"/>
              </w:rPr>
              <w:t>2</w:t>
            </w:r>
          </w:p>
        </w:tc>
        <w:tc>
          <w:tcPr>
            <w:tcW w:w="4551" w:type="pct"/>
            <w:tcBorders>
              <w:top w:val="single" w:color="auto" w:sz="4" w:space="0"/>
              <w:left w:val="nil"/>
              <w:bottom w:val="single" w:color="auto" w:sz="4" w:space="0"/>
              <w:right w:val="single" w:color="auto" w:sz="4" w:space="0"/>
            </w:tcBorders>
            <w:noWrap w:val="0"/>
            <w:vAlign w:val="center"/>
          </w:tcPr>
          <w:p w14:paraId="43F55C16">
            <w:pPr>
              <w:pStyle w:val="6"/>
              <w:spacing w:after="0" w:line="240" w:lineRule="auto"/>
              <w:ind w:firstLine="420"/>
              <w:rPr>
                <w:rFonts w:hint="eastAsia"/>
                <w:color w:val="auto"/>
                <w:sz w:val="21"/>
                <w:szCs w:val="21"/>
              </w:rPr>
            </w:pPr>
            <w:r>
              <w:rPr>
                <w:rFonts w:hint="eastAsia"/>
                <w:color w:val="auto"/>
                <w:sz w:val="21"/>
                <w:szCs w:val="21"/>
              </w:rPr>
              <w:t>在门窗或幕墙安装完毕的室内进行作业时，要求保持通风。</w:t>
            </w:r>
          </w:p>
        </w:tc>
      </w:tr>
      <w:tr w14:paraId="77DC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9C069CD">
            <w:pPr>
              <w:pStyle w:val="6"/>
              <w:spacing w:after="0" w:line="240" w:lineRule="auto"/>
              <w:ind w:firstLine="0" w:firstLineChars="0"/>
              <w:jc w:val="center"/>
              <w:rPr>
                <w:rFonts w:hint="eastAsia"/>
                <w:color w:val="auto"/>
                <w:sz w:val="21"/>
                <w:szCs w:val="21"/>
              </w:rPr>
            </w:pPr>
            <w:r>
              <w:rPr>
                <w:rFonts w:hint="eastAsia"/>
                <w:color w:val="auto"/>
                <w:sz w:val="21"/>
                <w:szCs w:val="21"/>
              </w:rPr>
              <w:t>3</w:t>
            </w:r>
          </w:p>
        </w:tc>
        <w:tc>
          <w:tcPr>
            <w:tcW w:w="4551" w:type="pct"/>
            <w:tcBorders>
              <w:top w:val="single" w:color="auto" w:sz="4" w:space="0"/>
              <w:left w:val="nil"/>
              <w:bottom w:val="single" w:color="auto" w:sz="4" w:space="0"/>
              <w:right w:val="single" w:color="auto" w:sz="4" w:space="0"/>
            </w:tcBorders>
            <w:noWrap w:val="0"/>
            <w:vAlign w:val="center"/>
          </w:tcPr>
          <w:p w14:paraId="006D1B19">
            <w:pPr>
              <w:pStyle w:val="6"/>
              <w:spacing w:after="0" w:line="240" w:lineRule="auto"/>
              <w:ind w:firstLine="420"/>
              <w:rPr>
                <w:rFonts w:hint="eastAsia"/>
                <w:color w:val="auto"/>
                <w:sz w:val="21"/>
                <w:szCs w:val="21"/>
              </w:rPr>
            </w:pPr>
            <w:r>
              <w:rPr>
                <w:rFonts w:hint="eastAsia"/>
                <w:color w:val="auto"/>
                <w:sz w:val="21"/>
                <w:szCs w:val="21"/>
              </w:rPr>
              <w:t>采用密封容器放置会散发气味或粉尘类材料。</w:t>
            </w:r>
          </w:p>
        </w:tc>
      </w:tr>
      <w:tr w14:paraId="764A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D7E11FC">
            <w:pPr>
              <w:pStyle w:val="6"/>
              <w:spacing w:after="0" w:line="240" w:lineRule="auto"/>
              <w:ind w:firstLine="0" w:firstLineChars="0"/>
              <w:jc w:val="center"/>
              <w:rPr>
                <w:rFonts w:hint="eastAsia"/>
                <w:color w:val="auto"/>
                <w:sz w:val="21"/>
                <w:szCs w:val="21"/>
              </w:rPr>
            </w:pPr>
            <w:r>
              <w:rPr>
                <w:rFonts w:hint="eastAsia"/>
                <w:color w:val="auto"/>
                <w:sz w:val="21"/>
                <w:szCs w:val="21"/>
              </w:rPr>
              <w:t>4</w:t>
            </w:r>
          </w:p>
        </w:tc>
        <w:tc>
          <w:tcPr>
            <w:tcW w:w="4551" w:type="pct"/>
            <w:tcBorders>
              <w:top w:val="single" w:color="auto" w:sz="4" w:space="0"/>
              <w:left w:val="nil"/>
              <w:bottom w:val="single" w:color="auto" w:sz="4" w:space="0"/>
              <w:right w:val="single" w:color="auto" w:sz="4" w:space="0"/>
            </w:tcBorders>
            <w:noWrap w:val="0"/>
            <w:vAlign w:val="center"/>
          </w:tcPr>
          <w:p w14:paraId="59F791D9">
            <w:pPr>
              <w:pStyle w:val="6"/>
              <w:spacing w:after="0" w:line="240" w:lineRule="auto"/>
              <w:ind w:firstLine="420"/>
              <w:rPr>
                <w:rFonts w:hint="eastAsia"/>
                <w:color w:val="auto"/>
                <w:sz w:val="21"/>
                <w:szCs w:val="21"/>
              </w:rPr>
            </w:pPr>
            <w:r>
              <w:rPr>
                <w:rFonts w:hint="eastAsia"/>
                <w:color w:val="auto"/>
                <w:sz w:val="21"/>
                <w:szCs w:val="21"/>
              </w:rPr>
              <w:t>施工区设置排风扇，阻隔施工区空气进入办公、生活区。隔断潜在的污染物扩散。</w:t>
            </w:r>
          </w:p>
        </w:tc>
      </w:tr>
      <w:tr w14:paraId="3425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A771F39">
            <w:pPr>
              <w:pStyle w:val="6"/>
              <w:spacing w:after="0" w:line="240" w:lineRule="auto"/>
              <w:ind w:firstLine="0" w:firstLineChars="0"/>
              <w:jc w:val="center"/>
              <w:rPr>
                <w:rFonts w:hint="eastAsia"/>
                <w:color w:val="auto"/>
                <w:sz w:val="21"/>
                <w:szCs w:val="21"/>
              </w:rPr>
            </w:pPr>
            <w:r>
              <w:rPr>
                <w:rFonts w:hint="eastAsia"/>
                <w:color w:val="auto"/>
                <w:sz w:val="21"/>
                <w:szCs w:val="21"/>
              </w:rPr>
              <w:t>5</w:t>
            </w:r>
          </w:p>
        </w:tc>
        <w:tc>
          <w:tcPr>
            <w:tcW w:w="4551" w:type="pct"/>
            <w:tcBorders>
              <w:top w:val="single" w:color="auto" w:sz="4" w:space="0"/>
              <w:left w:val="nil"/>
              <w:bottom w:val="single" w:color="auto" w:sz="4" w:space="0"/>
              <w:right w:val="single" w:color="auto" w:sz="4" w:space="0"/>
            </w:tcBorders>
            <w:noWrap w:val="0"/>
            <w:vAlign w:val="center"/>
          </w:tcPr>
          <w:p w14:paraId="1B81E222">
            <w:pPr>
              <w:pStyle w:val="6"/>
              <w:spacing w:after="0" w:line="240" w:lineRule="auto"/>
              <w:ind w:firstLine="420"/>
              <w:rPr>
                <w:rFonts w:hint="eastAsia"/>
                <w:color w:val="auto"/>
                <w:sz w:val="21"/>
                <w:szCs w:val="21"/>
              </w:rPr>
            </w:pPr>
            <w:r>
              <w:rPr>
                <w:rFonts w:hint="eastAsia"/>
                <w:color w:val="auto"/>
                <w:sz w:val="21"/>
                <w:szCs w:val="21"/>
              </w:rPr>
              <w:t>施工现场要求“工完场清”，及时将施工余料清除室外。</w:t>
            </w:r>
          </w:p>
        </w:tc>
      </w:tr>
      <w:tr w14:paraId="4698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533C5F3">
            <w:pPr>
              <w:pStyle w:val="6"/>
              <w:spacing w:after="0" w:line="240" w:lineRule="auto"/>
              <w:ind w:firstLine="0" w:firstLineChars="0"/>
              <w:jc w:val="center"/>
              <w:rPr>
                <w:rFonts w:hint="eastAsia"/>
                <w:color w:val="auto"/>
                <w:sz w:val="21"/>
                <w:szCs w:val="21"/>
              </w:rPr>
            </w:pPr>
            <w:r>
              <w:rPr>
                <w:rFonts w:hint="eastAsia"/>
                <w:color w:val="auto"/>
                <w:sz w:val="21"/>
                <w:szCs w:val="21"/>
              </w:rPr>
              <w:t>6</w:t>
            </w:r>
          </w:p>
        </w:tc>
        <w:tc>
          <w:tcPr>
            <w:tcW w:w="4551" w:type="pct"/>
            <w:tcBorders>
              <w:top w:val="single" w:color="auto" w:sz="4" w:space="0"/>
              <w:left w:val="nil"/>
              <w:bottom w:val="single" w:color="auto" w:sz="4" w:space="0"/>
              <w:right w:val="single" w:color="auto" w:sz="4" w:space="0"/>
            </w:tcBorders>
            <w:noWrap w:val="0"/>
            <w:vAlign w:val="center"/>
          </w:tcPr>
          <w:p w14:paraId="64E258F6">
            <w:pPr>
              <w:pStyle w:val="6"/>
              <w:spacing w:after="0" w:line="240" w:lineRule="auto"/>
              <w:ind w:firstLine="420"/>
              <w:rPr>
                <w:rFonts w:hint="eastAsia"/>
                <w:color w:val="auto"/>
                <w:sz w:val="21"/>
                <w:szCs w:val="21"/>
              </w:rPr>
            </w:pPr>
            <w:r>
              <w:rPr>
                <w:rFonts w:hint="eastAsia"/>
                <w:color w:val="auto"/>
                <w:sz w:val="21"/>
                <w:szCs w:val="21"/>
              </w:rPr>
              <w:t>室内施工要不定期进行地面洒水，控制室内扬尘。</w:t>
            </w:r>
          </w:p>
        </w:tc>
      </w:tr>
    </w:tbl>
    <w:p w14:paraId="2742CC9C">
      <w:pPr>
        <w:ind w:firstLine="480"/>
        <w:rPr>
          <w:rFonts w:hint="eastAsia"/>
          <w:color w:val="auto"/>
        </w:rPr>
      </w:pPr>
      <w:r>
        <w:rPr>
          <w:rFonts w:hint="eastAsia"/>
          <w:color w:val="auto"/>
        </w:rPr>
        <w:t>2、室内材料及设备管理</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8452"/>
      </w:tblGrid>
      <w:tr w14:paraId="26D8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B9C0088">
            <w:pPr>
              <w:pStyle w:val="6"/>
              <w:spacing w:after="0" w:line="240" w:lineRule="auto"/>
              <w:ind w:firstLine="0" w:firstLineChars="0"/>
              <w:jc w:val="center"/>
              <w:rPr>
                <w:rFonts w:hint="eastAsia"/>
                <w:color w:val="auto"/>
                <w:sz w:val="21"/>
                <w:szCs w:val="21"/>
              </w:rPr>
            </w:pPr>
            <w:r>
              <w:rPr>
                <w:rFonts w:hint="eastAsia"/>
                <w:color w:val="auto"/>
                <w:sz w:val="21"/>
                <w:szCs w:val="21"/>
              </w:rPr>
              <w:t>序号</w:t>
            </w:r>
          </w:p>
        </w:tc>
        <w:tc>
          <w:tcPr>
            <w:tcW w:w="4551" w:type="pct"/>
            <w:tcBorders>
              <w:top w:val="single" w:color="auto" w:sz="4" w:space="0"/>
              <w:left w:val="nil"/>
              <w:bottom w:val="single" w:color="auto" w:sz="4" w:space="0"/>
              <w:right w:val="single" w:color="auto" w:sz="4" w:space="0"/>
            </w:tcBorders>
            <w:noWrap w:val="0"/>
            <w:vAlign w:val="center"/>
          </w:tcPr>
          <w:p w14:paraId="4785DDA2">
            <w:pPr>
              <w:pStyle w:val="6"/>
              <w:spacing w:after="0" w:line="240" w:lineRule="auto"/>
              <w:ind w:firstLine="0" w:firstLineChars="0"/>
              <w:jc w:val="center"/>
              <w:rPr>
                <w:rFonts w:hint="eastAsia"/>
                <w:color w:val="auto"/>
                <w:sz w:val="21"/>
                <w:szCs w:val="21"/>
              </w:rPr>
            </w:pPr>
            <w:r>
              <w:rPr>
                <w:rFonts w:hint="eastAsia"/>
                <w:color w:val="auto"/>
                <w:sz w:val="21"/>
                <w:szCs w:val="21"/>
              </w:rPr>
              <w:t>具体措施</w:t>
            </w:r>
          </w:p>
        </w:tc>
      </w:tr>
      <w:tr w14:paraId="045E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32A4BDA">
            <w:pPr>
              <w:pStyle w:val="6"/>
              <w:spacing w:after="0" w:line="240" w:lineRule="auto"/>
              <w:ind w:firstLine="0" w:firstLineChars="0"/>
              <w:jc w:val="center"/>
              <w:rPr>
                <w:rFonts w:hint="eastAsia"/>
                <w:color w:val="auto"/>
                <w:sz w:val="21"/>
                <w:szCs w:val="21"/>
              </w:rPr>
            </w:pPr>
            <w:r>
              <w:rPr>
                <w:rFonts w:hint="eastAsia"/>
                <w:color w:val="auto"/>
                <w:sz w:val="21"/>
                <w:szCs w:val="21"/>
              </w:rPr>
              <w:t>1</w:t>
            </w:r>
          </w:p>
        </w:tc>
        <w:tc>
          <w:tcPr>
            <w:tcW w:w="4551" w:type="pct"/>
            <w:tcBorders>
              <w:top w:val="single" w:color="auto" w:sz="4" w:space="0"/>
              <w:left w:val="nil"/>
              <w:bottom w:val="single" w:color="auto" w:sz="4" w:space="0"/>
              <w:right w:val="single" w:color="auto" w:sz="4" w:space="0"/>
            </w:tcBorders>
            <w:noWrap w:val="0"/>
            <w:vAlign w:val="center"/>
          </w:tcPr>
          <w:p w14:paraId="45339003">
            <w:pPr>
              <w:pStyle w:val="6"/>
              <w:spacing w:after="0" w:line="240" w:lineRule="auto"/>
              <w:ind w:firstLine="420"/>
              <w:rPr>
                <w:rFonts w:hint="eastAsia"/>
                <w:color w:val="auto"/>
                <w:sz w:val="21"/>
                <w:szCs w:val="21"/>
              </w:rPr>
            </w:pPr>
            <w:r>
              <w:rPr>
                <w:rFonts w:hint="eastAsia"/>
                <w:color w:val="auto"/>
                <w:sz w:val="21"/>
                <w:szCs w:val="21"/>
              </w:rPr>
              <w:t>施工过程中对正在使用的材料进行不定期取样检测，室内使用低挥发性材料。有害材料不得楼层内存放。</w:t>
            </w:r>
          </w:p>
        </w:tc>
      </w:tr>
      <w:tr w14:paraId="0BCA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D27F0FF">
            <w:pPr>
              <w:pStyle w:val="6"/>
              <w:spacing w:after="0" w:line="240" w:lineRule="auto"/>
              <w:ind w:firstLine="0" w:firstLineChars="0"/>
              <w:jc w:val="center"/>
              <w:rPr>
                <w:rFonts w:hint="eastAsia"/>
                <w:color w:val="auto"/>
                <w:sz w:val="21"/>
                <w:szCs w:val="21"/>
              </w:rPr>
            </w:pPr>
            <w:r>
              <w:rPr>
                <w:rFonts w:hint="eastAsia"/>
                <w:color w:val="auto"/>
                <w:sz w:val="21"/>
                <w:szCs w:val="21"/>
              </w:rPr>
              <w:t>2</w:t>
            </w:r>
          </w:p>
        </w:tc>
        <w:tc>
          <w:tcPr>
            <w:tcW w:w="4551" w:type="pct"/>
            <w:tcBorders>
              <w:top w:val="single" w:color="auto" w:sz="4" w:space="0"/>
              <w:left w:val="nil"/>
              <w:bottom w:val="single" w:color="auto" w:sz="4" w:space="0"/>
              <w:right w:val="single" w:color="auto" w:sz="4" w:space="0"/>
            </w:tcBorders>
            <w:noWrap w:val="0"/>
            <w:vAlign w:val="center"/>
          </w:tcPr>
          <w:p w14:paraId="052B605A">
            <w:pPr>
              <w:pStyle w:val="6"/>
              <w:spacing w:after="0" w:line="240" w:lineRule="auto"/>
              <w:ind w:firstLine="420"/>
              <w:rPr>
                <w:rFonts w:hint="eastAsia"/>
                <w:color w:val="auto"/>
                <w:sz w:val="21"/>
                <w:szCs w:val="21"/>
              </w:rPr>
            </w:pPr>
            <w:r>
              <w:rPr>
                <w:rFonts w:hint="eastAsia"/>
                <w:color w:val="auto"/>
                <w:sz w:val="21"/>
                <w:szCs w:val="21"/>
              </w:rPr>
              <w:t>材料优先选用环保单位认证的产品，材料要符合国家、地方标准要求。本工程严禁使用国家或澄迈市建设主管部门限制、禁止使用的建筑材料或制品。</w:t>
            </w:r>
          </w:p>
        </w:tc>
      </w:tr>
      <w:tr w14:paraId="57BC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4156213">
            <w:pPr>
              <w:pStyle w:val="6"/>
              <w:spacing w:after="0" w:line="240" w:lineRule="auto"/>
              <w:ind w:firstLine="0" w:firstLineChars="0"/>
              <w:jc w:val="center"/>
              <w:rPr>
                <w:rFonts w:hint="eastAsia"/>
                <w:color w:val="auto"/>
                <w:sz w:val="21"/>
                <w:szCs w:val="21"/>
              </w:rPr>
            </w:pPr>
            <w:r>
              <w:rPr>
                <w:rFonts w:hint="eastAsia"/>
                <w:color w:val="auto"/>
                <w:sz w:val="21"/>
                <w:szCs w:val="21"/>
              </w:rPr>
              <w:t>3</w:t>
            </w:r>
          </w:p>
        </w:tc>
        <w:tc>
          <w:tcPr>
            <w:tcW w:w="4551" w:type="pct"/>
            <w:tcBorders>
              <w:top w:val="single" w:color="auto" w:sz="4" w:space="0"/>
              <w:left w:val="nil"/>
              <w:bottom w:val="single" w:color="auto" w:sz="4" w:space="0"/>
              <w:right w:val="single" w:color="auto" w:sz="4" w:space="0"/>
            </w:tcBorders>
            <w:noWrap w:val="0"/>
            <w:vAlign w:val="center"/>
          </w:tcPr>
          <w:p w14:paraId="42E3FAD8">
            <w:pPr>
              <w:pStyle w:val="6"/>
              <w:spacing w:after="0" w:line="240" w:lineRule="auto"/>
              <w:ind w:firstLine="420"/>
              <w:rPr>
                <w:rFonts w:hint="eastAsia"/>
                <w:color w:val="auto"/>
                <w:sz w:val="21"/>
                <w:szCs w:val="21"/>
              </w:rPr>
            </w:pPr>
            <w:r>
              <w:rPr>
                <w:rFonts w:hint="eastAsia"/>
                <w:color w:val="auto"/>
                <w:sz w:val="21"/>
                <w:szCs w:val="21"/>
              </w:rPr>
              <w:t>对工程材料进行严格筛选。室内装修材料进场时，由供货商提供环保检测报告，并进行复试检测，不符合要求的不得投入使用，必须立即退场。</w:t>
            </w:r>
          </w:p>
        </w:tc>
      </w:tr>
      <w:tr w14:paraId="7315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A7364DF">
            <w:pPr>
              <w:pStyle w:val="6"/>
              <w:spacing w:after="0" w:line="240" w:lineRule="auto"/>
              <w:ind w:firstLine="0" w:firstLineChars="0"/>
              <w:jc w:val="center"/>
              <w:rPr>
                <w:rFonts w:hint="eastAsia"/>
                <w:color w:val="auto"/>
                <w:sz w:val="21"/>
                <w:szCs w:val="21"/>
              </w:rPr>
            </w:pPr>
            <w:r>
              <w:rPr>
                <w:rFonts w:hint="eastAsia"/>
                <w:color w:val="auto"/>
                <w:sz w:val="21"/>
                <w:szCs w:val="21"/>
              </w:rPr>
              <w:t>4</w:t>
            </w:r>
          </w:p>
        </w:tc>
        <w:tc>
          <w:tcPr>
            <w:tcW w:w="4551" w:type="pct"/>
            <w:tcBorders>
              <w:top w:val="single" w:color="auto" w:sz="4" w:space="0"/>
              <w:left w:val="nil"/>
              <w:bottom w:val="single" w:color="auto" w:sz="4" w:space="0"/>
              <w:right w:val="single" w:color="auto" w:sz="4" w:space="0"/>
            </w:tcBorders>
            <w:noWrap w:val="0"/>
            <w:vAlign w:val="center"/>
          </w:tcPr>
          <w:p w14:paraId="5C1308B8">
            <w:pPr>
              <w:pStyle w:val="6"/>
              <w:spacing w:after="0" w:line="240" w:lineRule="auto"/>
              <w:ind w:firstLine="420"/>
              <w:rPr>
                <w:rFonts w:hint="eastAsia"/>
                <w:color w:val="auto"/>
                <w:sz w:val="21"/>
                <w:szCs w:val="21"/>
              </w:rPr>
            </w:pPr>
            <w:r>
              <w:rPr>
                <w:rFonts w:hint="eastAsia"/>
                <w:color w:val="auto"/>
                <w:sz w:val="21"/>
                <w:szCs w:val="21"/>
              </w:rPr>
              <w:t>室内污染物较多，可能被人吸入时，要限制人员进出，并保持自然通风。</w:t>
            </w:r>
          </w:p>
        </w:tc>
      </w:tr>
      <w:tr w14:paraId="2B5F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83E711F">
            <w:pPr>
              <w:pStyle w:val="6"/>
              <w:spacing w:after="0" w:line="240" w:lineRule="auto"/>
              <w:ind w:firstLine="0" w:firstLineChars="0"/>
              <w:jc w:val="center"/>
              <w:rPr>
                <w:rFonts w:hint="eastAsia"/>
                <w:color w:val="auto"/>
                <w:sz w:val="21"/>
                <w:szCs w:val="21"/>
              </w:rPr>
            </w:pPr>
            <w:r>
              <w:rPr>
                <w:rFonts w:hint="eastAsia"/>
                <w:color w:val="auto"/>
                <w:sz w:val="21"/>
                <w:szCs w:val="21"/>
              </w:rPr>
              <w:t>5</w:t>
            </w:r>
          </w:p>
        </w:tc>
        <w:tc>
          <w:tcPr>
            <w:tcW w:w="4551" w:type="pct"/>
            <w:tcBorders>
              <w:top w:val="single" w:color="auto" w:sz="4" w:space="0"/>
              <w:left w:val="nil"/>
              <w:bottom w:val="single" w:color="auto" w:sz="4" w:space="0"/>
              <w:right w:val="single" w:color="auto" w:sz="4" w:space="0"/>
            </w:tcBorders>
            <w:noWrap w:val="0"/>
            <w:vAlign w:val="center"/>
          </w:tcPr>
          <w:p w14:paraId="0DABF59C">
            <w:pPr>
              <w:pStyle w:val="6"/>
              <w:spacing w:after="0" w:line="240" w:lineRule="auto"/>
              <w:ind w:firstLine="420"/>
              <w:rPr>
                <w:rFonts w:hint="eastAsia"/>
                <w:color w:val="auto"/>
                <w:sz w:val="21"/>
                <w:szCs w:val="21"/>
              </w:rPr>
            </w:pPr>
            <w:r>
              <w:rPr>
                <w:rFonts w:hint="eastAsia"/>
                <w:color w:val="auto"/>
                <w:sz w:val="21"/>
                <w:szCs w:val="21"/>
              </w:rPr>
              <w:t>本工程材料均要求是污染物较少的产品。出厂检测报告的散发量指标等性能要求按照标准评价为低挥发性产品。</w:t>
            </w:r>
          </w:p>
        </w:tc>
      </w:tr>
    </w:tbl>
    <w:p w14:paraId="08389CDA">
      <w:pPr>
        <w:pStyle w:val="7"/>
        <w:rPr>
          <w:color w:val="auto"/>
        </w:rPr>
      </w:pPr>
      <w:bookmarkStart w:id="62" w:name="_Toc13560"/>
      <w:r>
        <w:rPr>
          <w:rFonts w:hint="eastAsia"/>
          <w:color w:val="auto"/>
        </w:rPr>
        <w:t>室外环境保护措施</w:t>
      </w:r>
      <w:bookmarkEnd w:id="62"/>
    </w:p>
    <w:p w14:paraId="2F3A8F16">
      <w:pPr>
        <w:pStyle w:val="6"/>
        <w:ind w:firstLine="480"/>
        <w:rPr>
          <w:rFonts w:hint="eastAsia"/>
          <w:color w:val="auto"/>
        </w:rPr>
      </w:pPr>
      <w:bookmarkStart w:id="63" w:name="_Toc296604931"/>
      <w:bookmarkEnd w:id="63"/>
      <w:bookmarkStart w:id="64" w:name="_Toc296604936"/>
      <w:r>
        <w:rPr>
          <w:rFonts w:hint="eastAsia"/>
          <w:color w:val="auto"/>
        </w:rPr>
        <w:t>1、扬尘控制</w:t>
      </w:r>
      <w:bookmarkEnd w:id="64"/>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8144"/>
      </w:tblGrid>
      <w:tr w14:paraId="2E8E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pct"/>
            <w:tcBorders>
              <w:top w:val="single" w:color="auto" w:sz="4" w:space="0"/>
              <w:left w:val="single" w:color="auto" w:sz="4" w:space="0"/>
              <w:bottom w:val="single" w:color="auto" w:sz="4" w:space="0"/>
              <w:right w:val="single" w:color="auto" w:sz="4" w:space="0"/>
            </w:tcBorders>
            <w:noWrap w:val="0"/>
            <w:vAlign w:val="center"/>
          </w:tcPr>
          <w:p w14:paraId="30AC0F33">
            <w:pPr>
              <w:pStyle w:val="6"/>
              <w:spacing w:after="0" w:line="240" w:lineRule="auto"/>
              <w:ind w:firstLine="0" w:firstLineChars="0"/>
              <w:jc w:val="center"/>
              <w:rPr>
                <w:rFonts w:hint="eastAsia"/>
                <w:color w:val="auto"/>
                <w:sz w:val="21"/>
                <w:szCs w:val="21"/>
              </w:rPr>
            </w:pPr>
            <w:r>
              <w:rPr>
                <w:rFonts w:hint="eastAsia"/>
                <w:color w:val="auto"/>
                <w:sz w:val="21"/>
                <w:szCs w:val="21"/>
              </w:rPr>
              <w:t>施工阶段</w:t>
            </w:r>
          </w:p>
        </w:tc>
        <w:tc>
          <w:tcPr>
            <w:tcW w:w="4385" w:type="pct"/>
            <w:tcBorders>
              <w:top w:val="single" w:color="auto" w:sz="4" w:space="0"/>
              <w:left w:val="nil"/>
              <w:bottom w:val="single" w:color="auto" w:sz="4" w:space="0"/>
              <w:right w:val="single" w:color="auto" w:sz="4" w:space="0"/>
            </w:tcBorders>
            <w:noWrap w:val="0"/>
            <w:vAlign w:val="center"/>
          </w:tcPr>
          <w:p w14:paraId="633C7361">
            <w:pPr>
              <w:pStyle w:val="6"/>
              <w:spacing w:after="0" w:line="240" w:lineRule="auto"/>
              <w:ind w:firstLine="0" w:firstLineChars="0"/>
              <w:jc w:val="center"/>
              <w:rPr>
                <w:rFonts w:hint="eastAsia"/>
                <w:color w:val="auto"/>
                <w:sz w:val="21"/>
                <w:szCs w:val="21"/>
              </w:rPr>
            </w:pPr>
            <w:r>
              <w:rPr>
                <w:rFonts w:hint="eastAsia"/>
                <w:color w:val="auto"/>
                <w:sz w:val="21"/>
                <w:szCs w:val="21"/>
              </w:rPr>
              <w:t>具体措施</w:t>
            </w:r>
          </w:p>
        </w:tc>
      </w:tr>
      <w:tr w14:paraId="3056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pct"/>
            <w:tcBorders>
              <w:top w:val="single" w:color="auto" w:sz="4" w:space="0"/>
              <w:left w:val="single" w:color="auto" w:sz="4" w:space="0"/>
              <w:bottom w:val="single" w:color="auto" w:sz="4" w:space="0"/>
              <w:right w:val="single" w:color="auto" w:sz="4" w:space="0"/>
            </w:tcBorders>
            <w:noWrap w:val="0"/>
            <w:vAlign w:val="center"/>
          </w:tcPr>
          <w:p w14:paraId="475C9D22">
            <w:pPr>
              <w:pStyle w:val="6"/>
              <w:spacing w:after="0" w:line="240" w:lineRule="auto"/>
              <w:ind w:firstLine="0" w:firstLineChars="0"/>
              <w:jc w:val="center"/>
              <w:rPr>
                <w:rFonts w:hint="eastAsia"/>
                <w:color w:val="auto"/>
                <w:sz w:val="21"/>
                <w:szCs w:val="21"/>
              </w:rPr>
            </w:pPr>
            <w:r>
              <w:rPr>
                <w:rFonts w:hint="eastAsia"/>
                <w:color w:val="auto"/>
                <w:sz w:val="21"/>
                <w:szCs w:val="21"/>
              </w:rPr>
              <w:t>地下室施工阶段</w:t>
            </w:r>
          </w:p>
        </w:tc>
        <w:tc>
          <w:tcPr>
            <w:tcW w:w="4385" w:type="pct"/>
            <w:tcBorders>
              <w:top w:val="single" w:color="auto" w:sz="4" w:space="0"/>
              <w:left w:val="nil"/>
              <w:bottom w:val="single" w:color="auto" w:sz="4" w:space="0"/>
              <w:right w:val="single" w:color="auto" w:sz="4" w:space="0"/>
            </w:tcBorders>
            <w:noWrap w:val="0"/>
            <w:vAlign w:val="center"/>
          </w:tcPr>
          <w:p w14:paraId="74C0D363">
            <w:pPr>
              <w:pStyle w:val="6"/>
              <w:spacing w:after="0" w:line="240" w:lineRule="auto"/>
              <w:ind w:firstLine="420"/>
              <w:rPr>
                <w:rFonts w:hint="eastAsia"/>
                <w:color w:val="auto"/>
                <w:sz w:val="21"/>
                <w:szCs w:val="21"/>
              </w:rPr>
            </w:pPr>
            <w:r>
              <w:rPr>
                <w:rFonts w:hint="eastAsia"/>
                <w:color w:val="auto"/>
                <w:sz w:val="21"/>
                <w:szCs w:val="21"/>
              </w:rPr>
              <w:t>1、施工现场及周边主要道路采用专人定时喷洒路面，保证道路清洁。</w:t>
            </w:r>
          </w:p>
          <w:p w14:paraId="4868561A">
            <w:pPr>
              <w:pStyle w:val="6"/>
              <w:spacing w:after="0" w:line="240" w:lineRule="auto"/>
              <w:ind w:firstLine="420"/>
              <w:rPr>
                <w:rFonts w:hint="eastAsia"/>
                <w:color w:val="auto"/>
                <w:sz w:val="21"/>
                <w:szCs w:val="21"/>
              </w:rPr>
            </w:pPr>
            <w:r>
              <w:rPr>
                <w:rFonts w:hint="eastAsia"/>
                <w:color w:val="auto"/>
                <w:sz w:val="21"/>
                <w:szCs w:val="21"/>
              </w:rPr>
              <w:t>2、确保施工现场材料存放区、加工区及模板存放场地平整硬化。</w:t>
            </w:r>
          </w:p>
          <w:p w14:paraId="4207C4D9">
            <w:pPr>
              <w:pStyle w:val="6"/>
              <w:spacing w:after="0" w:line="240" w:lineRule="auto"/>
              <w:ind w:firstLine="420"/>
              <w:rPr>
                <w:rFonts w:hint="eastAsia"/>
                <w:color w:val="auto"/>
                <w:sz w:val="21"/>
                <w:szCs w:val="21"/>
              </w:rPr>
            </w:pPr>
            <w:r>
              <w:rPr>
                <w:rFonts w:hint="eastAsia"/>
                <w:color w:val="auto"/>
                <w:sz w:val="21"/>
                <w:szCs w:val="21"/>
              </w:rPr>
              <w:t>3、确保施工现场所采用零星水泥采用袋装。主要考虑到砖胎膜砌筑抹灰时所用水泥量，即需即进，尽量减少水泥在场内存放的时间并且须有薄膜、布等覆盖。</w:t>
            </w:r>
          </w:p>
        </w:tc>
      </w:tr>
      <w:tr w14:paraId="0D72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pct"/>
            <w:tcBorders>
              <w:top w:val="single" w:color="auto" w:sz="4" w:space="0"/>
              <w:left w:val="single" w:color="auto" w:sz="4" w:space="0"/>
              <w:bottom w:val="single" w:color="auto" w:sz="4" w:space="0"/>
              <w:right w:val="single" w:color="auto" w:sz="4" w:space="0"/>
            </w:tcBorders>
            <w:noWrap w:val="0"/>
            <w:vAlign w:val="center"/>
          </w:tcPr>
          <w:p w14:paraId="42619CEE">
            <w:pPr>
              <w:pStyle w:val="6"/>
              <w:spacing w:after="0" w:line="240" w:lineRule="auto"/>
              <w:ind w:firstLine="0" w:firstLineChars="0"/>
              <w:jc w:val="center"/>
              <w:rPr>
                <w:rFonts w:hint="eastAsia"/>
                <w:color w:val="auto"/>
                <w:sz w:val="21"/>
                <w:szCs w:val="21"/>
              </w:rPr>
            </w:pPr>
            <w:r>
              <w:rPr>
                <w:rFonts w:hint="eastAsia"/>
                <w:color w:val="auto"/>
                <w:sz w:val="21"/>
                <w:szCs w:val="21"/>
              </w:rPr>
              <w:t>地上施工阶段</w:t>
            </w:r>
          </w:p>
        </w:tc>
        <w:tc>
          <w:tcPr>
            <w:tcW w:w="4385" w:type="pct"/>
            <w:tcBorders>
              <w:top w:val="single" w:color="auto" w:sz="4" w:space="0"/>
              <w:left w:val="nil"/>
              <w:bottom w:val="single" w:color="auto" w:sz="4" w:space="0"/>
              <w:right w:val="single" w:color="auto" w:sz="4" w:space="0"/>
            </w:tcBorders>
            <w:noWrap w:val="0"/>
            <w:vAlign w:val="center"/>
          </w:tcPr>
          <w:p w14:paraId="0F39672E">
            <w:pPr>
              <w:pStyle w:val="6"/>
              <w:spacing w:after="0" w:line="240" w:lineRule="auto"/>
              <w:ind w:firstLine="420"/>
              <w:rPr>
                <w:rFonts w:hint="eastAsia"/>
                <w:color w:val="auto"/>
                <w:sz w:val="21"/>
                <w:szCs w:val="21"/>
              </w:rPr>
            </w:pPr>
            <w:r>
              <w:rPr>
                <w:rFonts w:hint="eastAsia"/>
                <w:color w:val="auto"/>
                <w:sz w:val="21"/>
                <w:szCs w:val="21"/>
              </w:rPr>
              <w:t>1、施工现场建立封闭垃圾站，供楼层垃圾存放使用，办公区门口设临时的可移动垃圾桶，请场外清洁公司专门负责清理、外运。</w:t>
            </w:r>
          </w:p>
          <w:p w14:paraId="0D1B419E">
            <w:pPr>
              <w:pStyle w:val="6"/>
              <w:spacing w:after="0" w:line="240" w:lineRule="auto"/>
              <w:ind w:firstLine="420"/>
              <w:rPr>
                <w:rFonts w:hint="eastAsia"/>
                <w:color w:val="auto"/>
                <w:sz w:val="21"/>
                <w:szCs w:val="21"/>
              </w:rPr>
            </w:pPr>
            <w:r>
              <w:rPr>
                <w:rFonts w:hint="eastAsia"/>
                <w:color w:val="auto"/>
                <w:sz w:val="21"/>
                <w:szCs w:val="21"/>
              </w:rPr>
              <w:t>2、建筑物内施工垃圾的清运，采用人工清理和吊斗运输，严禁凌空抛投。</w:t>
            </w:r>
          </w:p>
          <w:p w14:paraId="3E5D028B">
            <w:pPr>
              <w:pStyle w:val="6"/>
              <w:spacing w:after="0" w:line="240" w:lineRule="auto"/>
              <w:ind w:firstLine="420"/>
              <w:rPr>
                <w:rFonts w:hint="eastAsia"/>
                <w:color w:val="auto"/>
                <w:sz w:val="21"/>
                <w:szCs w:val="21"/>
              </w:rPr>
            </w:pPr>
            <w:r>
              <w:rPr>
                <w:rFonts w:hint="eastAsia"/>
                <w:color w:val="auto"/>
                <w:sz w:val="21"/>
                <w:szCs w:val="21"/>
              </w:rPr>
              <w:t>3、施工现场大门口设置盆栽，以减少人流集中区域灰尘污染。</w:t>
            </w:r>
          </w:p>
        </w:tc>
      </w:tr>
      <w:tr w14:paraId="14E8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5" w:type="pct"/>
            <w:tcBorders>
              <w:top w:val="single" w:color="auto" w:sz="4" w:space="0"/>
              <w:left w:val="single" w:color="auto" w:sz="4" w:space="0"/>
              <w:bottom w:val="single" w:color="auto" w:sz="4" w:space="0"/>
              <w:right w:val="single" w:color="auto" w:sz="4" w:space="0"/>
            </w:tcBorders>
            <w:noWrap w:val="0"/>
            <w:vAlign w:val="center"/>
          </w:tcPr>
          <w:p w14:paraId="6471A4C0">
            <w:pPr>
              <w:pStyle w:val="6"/>
              <w:spacing w:after="0" w:line="240" w:lineRule="auto"/>
              <w:ind w:firstLine="0" w:firstLineChars="0"/>
              <w:jc w:val="center"/>
              <w:rPr>
                <w:rFonts w:hint="eastAsia"/>
                <w:color w:val="auto"/>
                <w:sz w:val="21"/>
                <w:szCs w:val="21"/>
              </w:rPr>
            </w:pPr>
            <w:r>
              <w:rPr>
                <w:rFonts w:hint="eastAsia"/>
                <w:color w:val="auto"/>
                <w:sz w:val="21"/>
                <w:szCs w:val="21"/>
              </w:rPr>
              <w:t>装饰装修阶段</w:t>
            </w:r>
          </w:p>
        </w:tc>
        <w:tc>
          <w:tcPr>
            <w:tcW w:w="4385" w:type="pct"/>
            <w:tcBorders>
              <w:top w:val="single" w:color="auto" w:sz="4" w:space="0"/>
              <w:left w:val="nil"/>
              <w:bottom w:val="single" w:color="auto" w:sz="4" w:space="0"/>
              <w:right w:val="single" w:color="auto" w:sz="4" w:space="0"/>
            </w:tcBorders>
            <w:noWrap w:val="0"/>
            <w:vAlign w:val="center"/>
          </w:tcPr>
          <w:p w14:paraId="6A459D29">
            <w:pPr>
              <w:pStyle w:val="6"/>
              <w:spacing w:after="0" w:line="240" w:lineRule="auto"/>
              <w:ind w:firstLine="420"/>
              <w:rPr>
                <w:rFonts w:hint="eastAsia"/>
                <w:color w:val="auto"/>
                <w:sz w:val="21"/>
                <w:szCs w:val="21"/>
              </w:rPr>
            </w:pPr>
            <w:r>
              <w:rPr>
                <w:rFonts w:hint="eastAsia"/>
                <w:color w:val="auto"/>
                <w:sz w:val="21"/>
                <w:szCs w:val="21"/>
              </w:rPr>
              <w:t>1、对易产生扬尘的材料采取覆盖措施；对粉末状材料封闭存放；场区内可能引起扬尘的材料及建筑垃圾搬运制定降尘措施。</w:t>
            </w:r>
          </w:p>
          <w:p w14:paraId="28C1880A">
            <w:pPr>
              <w:pStyle w:val="6"/>
              <w:spacing w:after="0" w:line="240" w:lineRule="auto"/>
              <w:ind w:firstLine="420"/>
              <w:rPr>
                <w:rFonts w:hint="eastAsia"/>
                <w:color w:val="auto"/>
                <w:sz w:val="21"/>
                <w:szCs w:val="21"/>
              </w:rPr>
            </w:pPr>
            <w:r>
              <w:rPr>
                <w:rFonts w:hint="eastAsia"/>
                <w:color w:val="auto"/>
                <w:sz w:val="21"/>
                <w:szCs w:val="21"/>
              </w:rPr>
              <w:t>2、场内易扬尘颗粒建筑材料密闭存放，散状颗粒物材料进场后临时用密目网进行覆盖，控制此类一次进场量，边用边进，减少散发面积，用完后清扫干净。</w:t>
            </w:r>
          </w:p>
          <w:p w14:paraId="70744D88">
            <w:pPr>
              <w:pStyle w:val="6"/>
              <w:spacing w:after="0" w:line="240" w:lineRule="auto"/>
              <w:ind w:firstLine="420"/>
              <w:rPr>
                <w:rFonts w:hint="eastAsia"/>
                <w:color w:val="auto"/>
                <w:sz w:val="21"/>
                <w:szCs w:val="21"/>
              </w:rPr>
            </w:pPr>
            <w:r>
              <w:rPr>
                <w:rFonts w:hint="eastAsia"/>
                <w:color w:val="auto"/>
                <w:sz w:val="21"/>
                <w:szCs w:val="21"/>
              </w:rPr>
              <w:t>3、禁止在施工现场焚烧橡胶、塑料、皮革等废弃物品以及其他会产生有毒、有害烟尘和恶臭气体的物质。</w:t>
            </w:r>
          </w:p>
          <w:p w14:paraId="082090C4">
            <w:pPr>
              <w:pStyle w:val="6"/>
              <w:spacing w:after="0" w:line="240" w:lineRule="auto"/>
              <w:ind w:firstLine="420"/>
              <w:rPr>
                <w:rFonts w:hint="eastAsia"/>
                <w:color w:val="auto"/>
                <w:sz w:val="21"/>
                <w:szCs w:val="21"/>
              </w:rPr>
            </w:pPr>
            <w:r>
              <w:rPr>
                <w:rFonts w:hint="eastAsia"/>
                <w:color w:val="auto"/>
                <w:sz w:val="21"/>
                <w:szCs w:val="21"/>
              </w:rPr>
              <w:t>4、水泥、砂浆的存放使用专用库房封闭处理，堆放稳定牢固、整齐有序。</w:t>
            </w:r>
          </w:p>
        </w:tc>
      </w:tr>
    </w:tbl>
    <w:p w14:paraId="039AC105">
      <w:pPr>
        <w:pStyle w:val="6"/>
        <w:ind w:firstLine="480"/>
        <w:rPr>
          <w:rFonts w:hint="eastAsia"/>
          <w:color w:val="auto"/>
        </w:rPr>
      </w:pPr>
      <w:r>
        <w:rPr>
          <w:rFonts w:hint="eastAsia"/>
          <w:color w:val="auto"/>
        </w:rPr>
        <w:t>2、噪音控制</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8452"/>
      </w:tblGrid>
      <w:tr w14:paraId="4134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6E60E48">
            <w:pPr>
              <w:pStyle w:val="6"/>
              <w:spacing w:after="0" w:line="240" w:lineRule="auto"/>
              <w:ind w:firstLine="0" w:firstLineChars="0"/>
              <w:jc w:val="center"/>
              <w:rPr>
                <w:rFonts w:hint="eastAsia"/>
                <w:color w:val="auto"/>
                <w:sz w:val="21"/>
                <w:szCs w:val="21"/>
              </w:rPr>
            </w:pPr>
            <w:r>
              <w:rPr>
                <w:rFonts w:hint="eastAsia"/>
                <w:color w:val="auto"/>
                <w:sz w:val="21"/>
                <w:szCs w:val="21"/>
              </w:rPr>
              <w:t>序号</w:t>
            </w:r>
          </w:p>
        </w:tc>
        <w:tc>
          <w:tcPr>
            <w:tcW w:w="4551" w:type="pct"/>
            <w:tcBorders>
              <w:top w:val="single" w:color="auto" w:sz="4" w:space="0"/>
              <w:left w:val="nil"/>
              <w:bottom w:val="single" w:color="auto" w:sz="4" w:space="0"/>
              <w:right w:val="single" w:color="auto" w:sz="4" w:space="0"/>
            </w:tcBorders>
            <w:noWrap w:val="0"/>
            <w:vAlign w:val="center"/>
          </w:tcPr>
          <w:p w14:paraId="41377B67">
            <w:pPr>
              <w:pStyle w:val="6"/>
              <w:spacing w:after="0" w:line="240" w:lineRule="auto"/>
              <w:ind w:firstLine="0" w:firstLineChars="0"/>
              <w:jc w:val="center"/>
              <w:rPr>
                <w:rFonts w:hint="eastAsia"/>
                <w:color w:val="auto"/>
                <w:sz w:val="21"/>
                <w:szCs w:val="21"/>
              </w:rPr>
            </w:pPr>
            <w:r>
              <w:rPr>
                <w:rFonts w:hint="eastAsia"/>
                <w:color w:val="auto"/>
                <w:sz w:val="21"/>
                <w:szCs w:val="21"/>
              </w:rPr>
              <w:t>具体措施</w:t>
            </w:r>
          </w:p>
        </w:tc>
      </w:tr>
      <w:tr w14:paraId="28A6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81ACF57">
            <w:pPr>
              <w:pStyle w:val="6"/>
              <w:spacing w:after="0" w:line="240" w:lineRule="auto"/>
              <w:ind w:firstLine="0" w:firstLineChars="0"/>
              <w:jc w:val="center"/>
              <w:rPr>
                <w:rFonts w:hint="eastAsia"/>
                <w:color w:val="auto"/>
                <w:sz w:val="21"/>
                <w:szCs w:val="21"/>
              </w:rPr>
            </w:pPr>
            <w:r>
              <w:rPr>
                <w:rFonts w:hint="eastAsia"/>
                <w:color w:val="auto"/>
                <w:sz w:val="21"/>
                <w:szCs w:val="21"/>
              </w:rPr>
              <w:t>1</w:t>
            </w:r>
          </w:p>
        </w:tc>
        <w:tc>
          <w:tcPr>
            <w:tcW w:w="4551" w:type="pct"/>
            <w:tcBorders>
              <w:top w:val="single" w:color="auto" w:sz="4" w:space="0"/>
              <w:left w:val="nil"/>
              <w:bottom w:val="single" w:color="auto" w:sz="4" w:space="0"/>
              <w:right w:val="single" w:color="auto" w:sz="4" w:space="0"/>
            </w:tcBorders>
            <w:noWrap w:val="0"/>
            <w:vAlign w:val="center"/>
          </w:tcPr>
          <w:p w14:paraId="7B97CF90">
            <w:pPr>
              <w:pStyle w:val="6"/>
              <w:spacing w:after="0" w:line="240" w:lineRule="auto"/>
              <w:ind w:firstLine="420"/>
              <w:rPr>
                <w:rFonts w:hint="eastAsia"/>
                <w:color w:val="auto"/>
                <w:sz w:val="21"/>
                <w:szCs w:val="21"/>
              </w:rPr>
            </w:pPr>
            <w:r>
              <w:rPr>
                <w:rFonts w:hint="eastAsia"/>
                <w:color w:val="auto"/>
                <w:sz w:val="21"/>
                <w:szCs w:val="21"/>
              </w:rPr>
              <w:t>施工现场根据国家标准《建筑施工场界噪声测量方法》和《建筑施工场地噪声限值》的要求制定降噪措施，并对施工现场噪声进行检测和记录，噪声排放禁止超过国家标准。</w:t>
            </w:r>
          </w:p>
        </w:tc>
      </w:tr>
      <w:tr w14:paraId="737A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E420804">
            <w:pPr>
              <w:pStyle w:val="6"/>
              <w:spacing w:after="0" w:line="240" w:lineRule="auto"/>
              <w:ind w:firstLine="0" w:firstLineChars="0"/>
              <w:jc w:val="center"/>
              <w:rPr>
                <w:rFonts w:hint="eastAsia"/>
                <w:color w:val="auto"/>
                <w:sz w:val="21"/>
                <w:szCs w:val="21"/>
              </w:rPr>
            </w:pPr>
            <w:r>
              <w:rPr>
                <w:rFonts w:hint="eastAsia"/>
                <w:color w:val="auto"/>
                <w:sz w:val="21"/>
                <w:szCs w:val="21"/>
              </w:rPr>
              <w:t>2</w:t>
            </w:r>
          </w:p>
        </w:tc>
        <w:tc>
          <w:tcPr>
            <w:tcW w:w="4551" w:type="pct"/>
            <w:tcBorders>
              <w:top w:val="single" w:color="auto" w:sz="4" w:space="0"/>
              <w:left w:val="nil"/>
              <w:bottom w:val="single" w:color="auto" w:sz="4" w:space="0"/>
              <w:right w:val="single" w:color="auto" w:sz="4" w:space="0"/>
            </w:tcBorders>
            <w:noWrap w:val="0"/>
            <w:vAlign w:val="center"/>
          </w:tcPr>
          <w:p w14:paraId="221C35C5">
            <w:pPr>
              <w:pStyle w:val="6"/>
              <w:spacing w:after="0" w:line="240" w:lineRule="auto"/>
              <w:ind w:firstLine="420"/>
              <w:rPr>
                <w:rFonts w:hint="eastAsia"/>
                <w:color w:val="auto"/>
                <w:sz w:val="21"/>
                <w:szCs w:val="21"/>
              </w:rPr>
            </w:pPr>
            <w:r>
              <w:rPr>
                <w:rFonts w:hint="eastAsia"/>
                <w:color w:val="auto"/>
                <w:sz w:val="21"/>
                <w:szCs w:val="21"/>
              </w:rPr>
              <w:t>运输材料的车辆进入施工现场，严禁鸣笛，装卸材料做到轻拿轻放。</w:t>
            </w:r>
          </w:p>
        </w:tc>
      </w:tr>
      <w:tr w14:paraId="4FE8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D80F893">
            <w:pPr>
              <w:pStyle w:val="6"/>
              <w:spacing w:after="0" w:line="240" w:lineRule="auto"/>
              <w:ind w:firstLine="0" w:firstLineChars="0"/>
              <w:jc w:val="center"/>
              <w:rPr>
                <w:rFonts w:hint="eastAsia"/>
                <w:color w:val="auto"/>
                <w:sz w:val="21"/>
                <w:szCs w:val="21"/>
              </w:rPr>
            </w:pPr>
            <w:r>
              <w:rPr>
                <w:rFonts w:hint="eastAsia"/>
                <w:color w:val="auto"/>
                <w:sz w:val="21"/>
                <w:szCs w:val="21"/>
              </w:rPr>
              <w:t>3</w:t>
            </w:r>
          </w:p>
        </w:tc>
        <w:tc>
          <w:tcPr>
            <w:tcW w:w="4551" w:type="pct"/>
            <w:tcBorders>
              <w:top w:val="single" w:color="auto" w:sz="4" w:space="0"/>
              <w:left w:val="nil"/>
              <w:bottom w:val="single" w:color="auto" w:sz="4" w:space="0"/>
              <w:right w:val="single" w:color="auto" w:sz="4" w:space="0"/>
            </w:tcBorders>
            <w:noWrap w:val="0"/>
            <w:vAlign w:val="center"/>
          </w:tcPr>
          <w:p w14:paraId="426687C3">
            <w:pPr>
              <w:pStyle w:val="6"/>
              <w:spacing w:after="0" w:line="240" w:lineRule="auto"/>
              <w:ind w:firstLine="420"/>
              <w:rPr>
                <w:rFonts w:hint="eastAsia"/>
                <w:color w:val="auto"/>
                <w:sz w:val="21"/>
                <w:szCs w:val="21"/>
              </w:rPr>
            </w:pPr>
            <w:r>
              <w:rPr>
                <w:rFonts w:hint="eastAsia"/>
                <w:color w:val="auto"/>
                <w:sz w:val="21"/>
                <w:szCs w:val="21"/>
              </w:rPr>
              <w:t>对施工现场采用密目网进行围挡，作业层全封闭。</w:t>
            </w:r>
          </w:p>
        </w:tc>
      </w:tr>
      <w:tr w14:paraId="6F38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5149412">
            <w:pPr>
              <w:pStyle w:val="6"/>
              <w:spacing w:after="0" w:line="240" w:lineRule="auto"/>
              <w:ind w:firstLine="0" w:firstLineChars="0"/>
              <w:jc w:val="center"/>
              <w:rPr>
                <w:rFonts w:hint="eastAsia"/>
                <w:color w:val="auto"/>
                <w:sz w:val="21"/>
                <w:szCs w:val="21"/>
              </w:rPr>
            </w:pPr>
            <w:r>
              <w:rPr>
                <w:rFonts w:hint="eastAsia"/>
                <w:color w:val="auto"/>
                <w:sz w:val="21"/>
                <w:szCs w:val="21"/>
              </w:rPr>
              <w:t>4</w:t>
            </w:r>
          </w:p>
        </w:tc>
        <w:tc>
          <w:tcPr>
            <w:tcW w:w="4551" w:type="pct"/>
            <w:tcBorders>
              <w:top w:val="single" w:color="auto" w:sz="4" w:space="0"/>
              <w:left w:val="nil"/>
              <w:bottom w:val="single" w:color="auto" w:sz="4" w:space="0"/>
              <w:right w:val="single" w:color="auto" w:sz="4" w:space="0"/>
            </w:tcBorders>
            <w:noWrap w:val="0"/>
            <w:vAlign w:val="center"/>
          </w:tcPr>
          <w:p w14:paraId="15C0EE8B">
            <w:pPr>
              <w:pStyle w:val="6"/>
              <w:spacing w:after="0" w:line="240" w:lineRule="auto"/>
              <w:ind w:firstLine="420"/>
              <w:rPr>
                <w:rFonts w:hint="eastAsia"/>
                <w:color w:val="auto"/>
                <w:sz w:val="21"/>
                <w:szCs w:val="21"/>
              </w:rPr>
            </w:pPr>
            <w:r>
              <w:rPr>
                <w:rFonts w:hint="eastAsia"/>
                <w:color w:val="auto"/>
                <w:sz w:val="21"/>
                <w:szCs w:val="21"/>
              </w:rPr>
              <w:t>对噪音大的施工机具封闭使用，搭设封闭施工棚，尽量减少噪音。</w:t>
            </w:r>
          </w:p>
        </w:tc>
      </w:tr>
      <w:tr w14:paraId="6B39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F235FFF">
            <w:pPr>
              <w:pStyle w:val="6"/>
              <w:spacing w:after="0" w:line="240" w:lineRule="auto"/>
              <w:ind w:firstLine="0" w:firstLineChars="0"/>
              <w:jc w:val="center"/>
              <w:rPr>
                <w:rFonts w:hint="eastAsia"/>
                <w:color w:val="auto"/>
                <w:sz w:val="21"/>
                <w:szCs w:val="21"/>
              </w:rPr>
            </w:pPr>
            <w:r>
              <w:rPr>
                <w:rFonts w:hint="eastAsia"/>
                <w:color w:val="auto"/>
                <w:sz w:val="21"/>
                <w:szCs w:val="21"/>
              </w:rPr>
              <w:t>5</w:t>
            </w:r>
          </w:p>
        </w:tc>
        <w:tc>
          <w:tcPr>
            <w:tcW w:w="4551" w:type="pct"/>
            <w:tcBorders>
              <w:top w:val="single" w:color="auto" w:sz="4" w:space="0"/>
              <w:left w:val="nil"/>
              <w:bottom w:val="single" w:color="auto" w:sz="4" w:space="0"/>
              <w:right w:val="single" w:color="auto" w:sz="4" w:space="0"/>
            </w:tcBorders>
            <w:noWrap w:val="0"/>
            <w:vAlign w:val="center"/>
          </w:tcPr>
          <w:p w14:paraId="743DC1EA">
            <w:pPr>
              <w:pStyle w:val="6"/>
              <w:spacing w:after="0" w:line="240" w:lineRule="auto"/>
              <w:ind w:firstLine="420"/>
              <w:rPr>
                <w:rFonts w:hint="eastAsia"/>
                <w:color w:val="auto"/>
                <w:sz w:val="21"/>
                <w:szCs w:val="21"/>
              </w:rPr>
            </w:pPr>
            <w:r>
              <w:rPr>
                <w:rFonts w:hint="eastAsia"/>
                <w:color w:val="auto"/>
                <w:sz w:val="21"/>
                <w:szCs w:val="21"/>
              </w:rPr>
              <w:t>加强现场管理，严禁在施工过程中敲击钢管等导致噪声污染周围环境，尽量减少因人为原因引起的噪声污染。</w:t>
            </w:r>
          </w:p>
        </w:tc>
      </w:tr>
      <w:tr w14:paraId="1613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91C2094">
            <w:pPr>
              <w:pStyle w:val="6"/>
              <w:spacing w:after="0" w:line="240" w:lineRule="auto"/>
              <w:ind w:firstLine="0" w:firstLineChars="0"/>
              <w:jc w:val="center"/>
              <w:rPr>
                <w:rFonts w:hint="eastAsia"/>
                <w:color w:val="auto"/>
                <w:sz w:val="21"/>
                <w:szCs w:val="21"/>
              </w:rPr>
            </w:pPr>
            <w:r>
              <w:rPr>
                <w:rFonts w:hint="eastAsia"/>
                <w:color w:val="auto"/>
                <w:sz w:val="21"/>
                <w:szCs w:val="21"/>
              </w:rPr>
              <w:t>6</w:t>
            </w:r>
          </w:p>
        </w:tc>
        <w:tc>
          <w:tcPr>
            <w:tcW w:w="4551" w:type="pct"/>
            <w:tcBorders>
              <w:top w:val="single" w:color="auto" w:sz="4" w:space="0"/>
              <w:left w:val="nil"/>
              <w:bottom w:val="single" w:color="auto" w:sz="4" w:space="0"/>
              <w:right w:val="single" w:color="auto" w:sz="4" w:space="0"/>
            </w:tcBorders>
            <w:noWrap w:val="0"/>
            <w:vAlign w:val="center"/>
          </w:tcPr>
          <w:p w14:paraId="1C3F70AC">
            <w:pPr>
              <w:pStyle w:val="6"/>
              <w:spacing w:after="0" w:line="240" w:lineRule="auto"/>
              <w:ind w:firstLine="420"/>
              <w:rPr>
                <w:rFonts w:hint="eastAsia"/>
                <w:color w:val="auto"/>
                <w:sz w:val="21"/>
                <w:szCs w:val="21"/>
              </w:rPr>
            </w:pPr>
            <w:r>
              <w:rPr>
                <w:rFonts w:hint="eastAsia"/>
                <w:color w:val="auto"/>
                <w:sz w:val="21"/>
                <w:szCs w:val="21"/>
              </w:rPr>
              <w:t>教育施工人员严格遵守各项规章制度，文明施工，搬运料具如钢管、模板时轻拿轻放，严禁大声喧哗，以减少人为的噪音干扰。</w:t>
            </w:r>
          </w:p>
        </w:tc>
      </w:tr>
    </w:tbl>
    <w:p w14:paraId="5E04C7C5">
      <w:pPr>
        <w:pStyle w:val="6"/>
        <w:ind w:firstLine="480"/>
        <w:rPr>
          <w:rFonts w:hint="eastAsia"/>
          <w:color w:val="auto"/>
        </w:rPr>
      </w:pPr>
      <w:r>
        <w:rPr>
          <w:rFonts w:hint="eastAsia"/>
          <w:color w:val="auto"/>
        </w:rPr>
        <w:t>3、光污染控制</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8452"/>
      </w:tblGrid>
      <w:tr w14:paraId="027E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7AA2A97">
            <w:pPr>
              <w:pStyle w:val="6"/>
              <w:spacing w:after="0" w:line="240" w:lineRule="auto"/>
              <w:ind w:firstLine="0" w:firstLineChars="0"/>
              <w:jc w:val="center"/>
              <w:rPr>
                <w:rFonts w:hint="eastAsia"/>
                <w:color w:val="auto"/>
                <w:sz w:val="21"/>
                <w:szCs w:val="21"/>
              </w:rPr>
            </w:pPr>
            <w:r>
              <w:rPr>
                <w:rFonts w:hint="eastAsia"/>
                <w:color w:val="auto"/>
                <w:sz w:val="21"/>
                <w:szCs w:val="21"/>
              </w:rPr>
              <w:t>序号</w:t>
            </w:r>
          </w:p>
        </w:tc>
        <w:tc>
          <w:tcPr>
            <w:tcW w:w="4551" w:type="pct"/>
            <w:tcBorders>
              <w:top w:val="single" w:color="auto" w:sz="4" w:space="0"/>
              <w:left w:val="nil"/>
              <w:bottom w:val="single" w:color="auto" w:sz="4" w:space="0"/>
              <w:right w:val="single" w:color="auto" w:sz="4" w:space="0"/>
            </w:tcBorders>
            <w:noWrap w:val="0"/>
            <w:vAlign w:val="center"/>
          </w:tcPr>
          <w:p w14:paraId="3B25BE98">
            <w:pPr>
              <w:pStyle w:val="6"/>
              <w:spacing w:after="0" w:line="240" w:lineRule="auto"/>
              <w:ind w:firstLine="0" w:firstLineChars="0"/>
              <w:jc w:val="center"/>
              <w:rPr>
                <w:rFonts w:hint="eastAsia"/>
                <w:color w:val="auto"/>
                <w:sz w:val="21"/>
                <w:szCs w:val="21"/>
              </w:rPr>
            </w:pPr>
            <w:r>
              <w:rPr>
                <w:rFonts w:hint="eastAsia"/>
                <w:color w:val="auto"/>
                <w:sz w:val="21"/>
                <w:szCs w:val="21"/>
              </w:rPr>
              <w:t>具体措施</w:t>
            </w:r>
          </w:p>
        </w:tc>
      </w:tr>
      <w:tr w14:paraId="370B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AE5B06C">
            <w:pPr>
              <w:pStyle w:val="6"/>
              <w:spacing w:after="0" w:line="240" w:lineRule="auto"/>
              <w:ind w:firstLine="0" w:firstLineChars="0"/>
              <w:jc w:val="center"/>
              <w:rPr>
                <w:rFonts w:hint="eastAsia"/>
                <w:color w:val="auto"/>
                <w:sz w:val="21"/>
                <w:szCs w:val="21"/>
              </w:rPr>
            </w:pPr>
            <w:r>
              <w:rPr>
                <w:rFonts w:hint="eastAsia"/>
                <w:color w:val="auto"/>
                <w:sz w:val="21"/>
                <w:szCs w:val="21"/>
              </w:rPr>
              <w:t>1</w:t>
            </w:r>
          </w:p>
        </w:tc>
        <w:tc>
          <w:tcPr>
            <w:tcW w:w="4551" w:type="pct"/>
            <w:tcBorders>
              <w:top w:val="single" w:color="auto" w:sz="4" w:space="0"/>
              <w:left w:val="nil"/>
              <w:bottom w:val="single" w:color="auto" w:sz="4" w:space="0"/>
              <w:right w:val="single" w:color="auto" w:sz="4" w:space="0"/>
            </w:tcBorders>
            <w:noWrap w:val="0"/>
            <w:vAlign w:val="center"/>
          </w:tcPr>
          <w:p w14:paraId="376DB7B2">
            <w:pPr>
              <w:pStyle w:val="6"/>
              <w:spacing w:after="0" w:line="240" w:lineRule="auto"/>
              <w:ind w:firstLine="420"/>
              <w:rPr>
                <w:rFonts w:hint="eastAsia"/>
                <w:color w:val="auto"/>
                <w:sz w:val="21"/>
                <w:szCs w:val="21"/>
              </w:rPr>
            </w:pPr>
            <w:r>
              <w:rPr>
                <w:rFonts w:hint="eastAsia"/>
                <w:color w:val="auto"/>
                <w:sz w:val="21"/>
                <w:szCs w:val="21"/>
              </w:rPr>
              <w:t>严格按照夜间现场施工情况启用照明设备，在夜间没有施工作业时，一律关掉探照灯等较大功率照明设备。</w:t>
            </w:r>
          </w:p>
        </w:tc>
      </w:tr>
      <w:tr w14:paraId="3556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54156E9">
            <w:pPr>
              <w:pStyle w:val="6"/>
              <w:spacing w:after="0" w:line="240" w:lineRule="auto"/>
              <w:ind w:firstLine="0" w:firstLineChars="0"/>
              <w:jc w:val="center"/>
              <w:rPr>
                <w:rFonts w:hint="eastAsia"/>
                <w:color w:val="auto"/>
                <w:sz w:val="21"/>
                <w:szCs w:val="21"/>
              </w:rPr>
            </w:pPr>
            <w:r>
              <w:rPr>
                <w:rFonts w:hint="eastAsia"/>
                <w:color w:val="auto"/>
                <w:sz w:val="21"/>
                <w:szCs w:val="21"/>
              </w:rPr>
              <w:t>2</w:t>
            </w:r>
          </w:p>
        </w:tc>
        <w:tc>
          <w:tcPr>
            <w:tcW w:w="4551" w:type="pct"/>
            <w:tcBorders>
              <w:top w:val="single" w:color="auto" w:sz="4" w:space="0"/>
              <w:left w:val="nil"/>
              <w:bottom w:val="single" w:color="auto" w:sz="4" w:space="0"/>
              <w:right w:val="single" w:color="auto" w:sz="4" w:space="0"/>
            </w:tcBorders>
            <w:noWrap w:val="0"/>
            <w:vAlign w:val="center"/>
          </w:tcPr>
          <w:p w14:paraId="55D337EE">
            <w:pPr>
              <w:pStyle w:val="6"/>
              <w:spacing w:after="0" w:line="240" w:lineRule="auto"/>
              <w:ind w:firstLine="420"/>
              <w:rPr>
                <w:rFonts w:hint="eastAsia"/>
                <w:color w:val="auto"/>
                <w:sz w:val="21"/>
                <w:szCs w:val="21"/>
              </w:rPr>
            </w:pPr>
            <w:r>
              <w:rPr>
                <w:rFonts w:hint="eastAsia"/>
                <w:color w:val="auto"/>
                <w:sz w:val="21"/>
                <w:szCs w:val="21"/>
              </w:rPr>
              <w:t>在电焊施工期间，施工时在作业面外围做全封闭隔离，采取隔离罩等措施，防止电焊等产生的弧光防止对周围地区产生影响。</w:t>
            </w:r>
          </w:p>
        </w:tc>
      </w:tr>
      <w:tr w14:paraId="78C0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4CFE6B4">
            <w:pPr>
              <w:pStyle w:val="6"/>
              <w:spacing w:after="0" w:line="240" w:lineRule="auto"/>
              <w:ind w:firstLine="0" w:firstLineChars="0"/>
              <w:jc w:val="center"/>
              <w:rPr>
                <w:rFonts w:hint="eastAsia"/>
                <w:color w:val="auto"/>
                <w:sz w:val="21"/>
                <w:szCs w:val="21"/>
              </w:rPr>
            </w:pPr>
            <w:r>
              <w:rPr>
                <w:rFonts w:hint="eastAsia"/>
                <w:color w:val="auto"/>
                <w:sz w:val="21"/>
                <w:szCs w:val="21"/>
              </w:rPr>
              <w:t>3</w:t>
            </w:r>
          </w:p>
        </w:tc>
        <w:tc>
          <w:tcPr>
            <w:tcW w:w="4551" w:type="pct"/>
            <w:tcBorders>
              <w:top w:val="single" w:color="auto" w:sz="4" w:space="0"/>
              <w:left w:val="nil"/>
              <w:bottom w:val="single" w:color="auto" w:sz="4" w:space="0"/>
              <w:right w:val="single" w:color="auto" w:sz="4" w:space="0"/>
            </w:tcBorders>
            <w:noWrap w:val="0"/>
            <w:vAlign w:val="center"/>
          </w:tcPr>
          <w:p w14:paraId="69E82B50">
            <w:pPr>
              <w:pStyle w:val="6"/>
              <w:spacing w:after="0" w:line="240" w:lineRule="auto"/>
              <w:ind w:firstLine="420"/>
              <w:rPr>
                <w:rFonts w:hint="eastAsia"/>
                <w:color w:val="auto"/>
                <w:sz w:val="21"/>
                <w:szCs w:val="21"/>
              </w:rPr>
            </w:pPr>
            <w:r>
              <w:rPr>
                <w:rFonts w:hint="eastAsia"/>
                <w:color w:val="auto"/>
                <w:sz w:val="21"/>
                <w:szCs w:val="21"/>
              </w:rPr>
              <w:t>地上施工阶段，尽量将照明设备设置在室内。</w:t>
            </w:r>
          </w:p>
        </w:tc>
      </w:tr>
    </w:tbl>
    <w:p w14:paraId="6289B933">
      <w:pPr>
        <w:pStyle w:val="6"/>
        <w:ind w:firstLine="480"/>
        <w:rPr>
          <w:rFonts w:hint="eastAsia"/>
          <w:color w:val="auto"/>
        </w:rPr>
      </w:pPr>
      <w:bookmarkStart w:id="65" w:name="_Toc296604938"/>
      <w:bookmarkEnd w:id="65"/>
      <w:r>
        <w:rPr>
          <w:rFonts w:hint="eastAsia"/>
          <w:color w:val="auto"/>
        </w:rPr>
        <w:t>4、水污染控制</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4223"/>
        <w:gridCol w:w="4229"/>
      </w:tblGrid>
      <w:tr w14:paraId="2A72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03DEC3F">
            <w:pPr>
              <w:pStyle w:val="6"/>
              <w:spacing w:after="0" w:line="240" w:lineRule="auto"/>
              <w:ind w:firstLine="0" w:firstLineChars="0"/>
              <w:jc w:val="center"/>
              <w:rPr>
                <w:rFonts w:hint="eastAsia"/>
                <w:color w:val="auto"/>
                <w:sz w:val="21"/>
                <w:szCs w:val="21"/>
              </w:rPr>
            </w:pPr>
            <w:r>
              <w:rPr>
                <w:rFonts w:hint="eastAsia"/>
                <w:color w:val="auto"/>
                <w:sz w:val="21"/>
                <w:szCs w:val="21"/>
              </w:rPr>
              <w:t>序号</w:t>
            </w:r>
          </w:p>
        </w:tc>
        <w:tc>
          <w:tcPr>
            <w:tcW w:w="4551" w:type="pct"/>
            <w:gridSpan w:val="2"/>
            <w:tcBorders>
              <w:top w:val="single" w:color="auto" w:sz="4" w:space="0"/>
              <w:left w:val="nil"/>
              <w:bottom w:val="single" w:color="auto" w:sz="4" w:space="0"/>
              <w:right w:val="single" w:color="auto" w:sz="4" w:space="0"/>
            </w:tcBorders>
            <w:noWrap w:val="0"/>
            <w:vAlign w:val="center"/>
          </w:tcPr>
          <w:p w14:paraId="5B84915D">
            <w:pPr>
              <w:pStyle w:val="6"/>
              <w:spacing w:after="0" w:line="240" w:lineRule="auto"/>
              <w:ind w:firstLine="0" w:firstLineChars="0"/>
              <w:jc w:val="center"/>
              <w:rPr>
                <w:rFonts w:hint="eastAsia"/>
                <w:color w:val="auto"/>
                <w:sz w:val="21"/>
                <w:szCs w:val="21"/>
              </w:rPr>
            </w:pPr>
            <w:r>
              <w:rPr>
                <w:rFonts w:hint="eastAsia"/>
                <w:color w:val="auto"/>
                <w:sz w:val="21"/>
                <w:szCs w:val="21"/>
              </w:rPr>
              <w:t>具体措施</w:t>
            </w:r>
          </w:p>
        </w:tc>
      </w:tr>
      <w:tr w14:paraId="5B11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9B75EDE">
            <w:pPr>
              <w:pStyle w:val="6"/>
              <w:spacing w:after="0" w:line="240" w:lineRule="auto"/>
              <w:ind w:firstLine="0" w:firstLineChars="0"/>
              <w:jc w:val="center"/>
              <w:rPr>
                <w:rFonts w:hint="eastAsia"/>
                <w:color w:val="auto"/>
                <w:sz w:val="21"/>
                <w:szCs w:val="21"/>
              </w:rPr>
            </w:pPr>
            <w:r>
              <w:rPr>
                <w:rFonts w:hint="eastAsia"/>
                <w:color w:val="auto"/>
                <w:sz w:val="21"/>
                <w:szCs w:val="21"/>
              </w:rPr>
              <w:t>1</w:t>
            </w:r>
          </w:p>
        </w:tc>
        <w:tc>
          <w:tcPr>
            <w:tcW w:w="4551" w:type="pct"/>
            <w:gridSpan w:val="2"/>
            <w:tcBorders>
              <w:top w:val="single" w:color="auto" w:sz="4" w:space="0"/>
              <w:left w:val="nil"/>
              <w:bottom w:val="single" w:color="auto" w:sz="4" w:space="0"/>
              <w:right w:val="single" w:color="auto" w:sz="4" w:space="0"/>
            </w:tcBorders>
            <w:noWrap w:val="0"/>
            <w:vAlign w:val="center"/>
          </w:tcPr>
          <w:p w14:paraId="347D630A">
            <w:pPr>
              <w:pStyle w:val="6"/>
              <w:spacing w:after="0" w:line="240" w:lineRule="auto"/>
              <w:ind w:firstLine="420"/>
              <w:rPr>
                <w:rFonts w:hint="eastAsia"/>
                <w:color w:val="auto"/>
                <w:sz w:val="21"/>
                <w:szCs w:val="21"/>
              </w:rPr>
            </w:pPr>
            <w:r>
              <w:rPr>
                <w:rFonts w:hint="eastAsia"/>
                <w:color w:val="auto"/>
                <w:sz w:val="21"/>
                <w:szCs w:val="21"/>
              </w:rPr>
              <w:t>混凝土输运泵及运输车辆清洗处设置洗车池及沉淀池。</w:t>
            </w:r>
          </w:p>
        </w:tc>
      </w:tr>
      <w:tr w14:paraId="7CA9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498BFEB">
            <w:pPr>
              <w:pStyle w:val="6"/>
              <w:spacing w:after="0" w:line="240" w:lineRule="auto"/>
              <w:ind w:firstLine="0" w:firstLineChars="0"/>
              <w:jc w:val="center"/>
              <w:rPr>
                <w:rFonts w:hint="eastAsia"/>
                <w:color w:val="auto"/>
                <w:sz w:val="21"/>
                <w:szCs w:val="21"/>
              </w:rPr>
            </w:pPr>
            <w:r>
              <w:rPr>
                <w:rFonts w:hint="eastAsia"/>
                <w:color w:val="auto"/>
                <w:sz w:val="21"/>
                <w:szCs w:val="21"/>
              </w:rPr>
              <w:t>2</w:t>
            </w:r>
          </w:p>
        </w:tc>
        <w:tc>
          <w:tcPr>
            <w:tcW w:w="4551" w:type="pct"/>
            <w:gridSpan w:val="2"/>
            <w:tcBorders>
              <w:top w:val="single" w:color="auto" w:sz="4" w:space="0"/>
              <w:left w:val="nil"/>
              <w:bottom w:val="single" w:color="auto" w:sz="4" w:space="0"/>
              <w:right w:val="single" w:color="auto" w:sz="4" w:space="0"/>
            </w:tcBorders>
            <w:noWrap w:val="0"/>
            <w:vAlign w:val="center"/>
          </w:tcPr>
          <w:p w14:paraId="3A6C2555">
            <w:pPr>
              <w:pStyle w:val="6"/>
              <w:spacing w:after="0" w:line="240" w:lineRule="auto"/>
              <w:ind w:firstLine="420"/>
              <w:rPr>
                <w:rFonts w:hint="eastAsia"/>
                <w:color w:val="auto"/>
                <w:sz w:val="21"/>
                <w:szCs w:val="21"/>
              </w:rPr>
            </w:pPr>
            <w:r>
              <w:rPr>
                <w:rFonts w:hint="eastAsia"/>
                <w:color w:val="auto"/>
                <w:sz w:val="21"/>
                <w:szCs w:val="21"/>
              </w:rPr>
              <w:t>生活区食堂设隔油池，并及时清理。</w:t>
            </w:r>
          </w:p>
        </w:tc>
      </w:tr>
      <w:tr w14:paraId="4C3F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BFECF50">
            <w:pPr>
              <w:pStyle w:val="6"/>
              <w:spacing w:after="0" w:line="240" w:lineRule="auto"/>
              <w:ind w:firstLine="0" w:firstLineChars="0"/>
              <w:jc w:val="center"/>
              <w:rPr>
                <w:rFonts w:hint="eastAsia"/>
                <w:color w:val="auto"/>
                <w:sz w:val="21"/>
                <w:szCs w:val="21"/>
              </w:rPr>
            </w:pPr>
            <w:r>
              <w:rPr>
                <w:rFonts w:hint="eastAsia"/>
                <w:color w:val="auto"/>
                <w:sz w:val="21"/>
                <w:szCs w:val="21"/>
              </w:rPr>
              <w:t>3</w:t>
            </w:r>
          </w:p>
        </w:tc>
        <w:tc>
          <w:tcPr>
            <w:tcW w:w="4551" w:type="pct"/>
            <w:gridSpan w:val="2"/>
            <w:tcBorders>
              <w:top w:val="single" w:color="auto" w:sz="4" w:space="0"/>
              <w:left w:val="nil"/>
              <w:bottom w:val="single" w:color="auto" w:sz="4" w:space="0"/>
              <w:right w:val="single" w:color="auto" w:sz="4" w:space="0"/>
            </w:tcBorders>
            <w:noWrap w:val="0"/>
            <w:vAlign w:val="center"/>
          </w:tcPr>
          <w:p w14:paraId="7F98283F">
            <w:pPr>
              <w:pStyle w:val="6"/>
              <w:spacing w:after="0" w:line="240" w:lineRule="auto"/>
              <w:ind w:firstLine="420"/>
              <w:rPr>
                <w:rFonts w:hint="eastAsia"/>
                <w:color w:val="auto"/>
                <w:sz w:val="21"/>
                <w:szCs w:val="21"/>
              </w:rPr>
            </w:pPr>
            <w:r>
              <w:rPr>
                <w:rFonts w:hint="eastAsia"/>
                <w:color w:val="auto"/>
                <w:sz w:val="21"/>
                <w:szCs w:val="21"/>
              </w:rPr>
              <w:t>施工现场的油料、稀料、油漆等，必须存放库房内，库房地面必须进行防渗处理，物资存储和使用时，必须防止出现跑、冒、滴、漏现象，避免污染地下水体。</w:t>
            </w:r>
          </w:p>
        </w:tc>
      </w:tr>
      <w:tr w14:paraId="5ED8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6029B80">
            <w:pPr>
              <w:pStyle w:val="6"/>
              <w:spacing w:after="0" w:line="240" w:lineRule="auto"/>
              <w:ind w:firstLine="0" w:firstLineChars="0"/>
              <w:jc w:val="center"/>
              <w:rPr>
                <w:rFonts w:hint="eastAsia"/>
                <w:color w:val="auto"/>
                <w:sz w:val="21"/>
                <w:szCs w:val="21"/>
              </w:rPr>
            </w:pPr>
            <w:r>
              <w:rPr>
                <w:rFonts w:hint="eastAsia"/>
                <w:color w:val="auto"/>
                <w:sz w:val="21"/>
                <w:szCs w:val="21"/>
              </w:rPr>
              <w:t>4</w:t>
            </w:r>
          </w:p>
        </w:tc>
        <w:tc>
          <w:tcPr>
            <w:tcW w:w="4551" w:type="pct"/>
            <w:gridSpan w:val="2"/>
            <w:tcBorders>
              <w:top w:val="single" w:color="auto" w:sz="4" w:space="0"/>
              <w:left w:val="nil"/>
              <w:bottom w:val="single" w:color="auto" w:sz="4" w:space="0"/>
              <w:right w:val="single" w:color="auto" w:sz="4" w:space="0"/>
            </w:tcBorders>
            <w:noWrap w:val="0"/>
            <w:vAlign w:val="center"/>
          </w:tcPr>
          <w:p w14:paraId="5B69A0C1">
            <w:pPr>
              <w:pStyle w:val="6"/>
              <w:spacing w:after="0" w:line="240" w:lineRule="auto"/>
              <w:ind w:firstLine="420"/>
              <w:rPr>
                <w:rFonts w:hint="eastAsia"/>
                <w:color w:val="auto"/>
                <w:sz w:val="21"/>
                <w:szCs w:val="21"/>
              </w:rPr>
            </w:pPr>
            <w:r>
              <w:rPr>
                <w:rFonts w:hint="eastAsia"/>
                <w:color w:val="auto"/>
                <w:sz w:val="21"/>
                <w:szCs w:val="21"/>
              </w:rPr>
              <w:t>地上施工阶段时，结合现场实际情况，在楼层内设置临时移动厕所，每三层设置一个，定期清理。</w:t>
            </w:r>
          </w:p>
        </w:tc>
      </w:tr>
      <w:tr w14:paraId="3FA6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45A22BC">
            <w:pPr>
              <w:pStyle w:val="6"/>
              <w:spacing w:after="0" w:line="240" w:lineRule="auto"/>
              <w:ind w:firstLine="0" w:firstLineChars="0"/>
              <w:jc w:val="center"/>
              <w:rPr>
                <w:rFonts w:hint="eastAsia"/>
                <w:color w:val="auto"/>
                <w:sz w:val="21"/>
                <w:szCs w:val="21"/>
              </w:rPr>
            </w:pPr>
            <w:r>
              <w:rPr>
                <w:rFonts w:hint="eastAsia"/>
                <w:color w:val="auto"/>
                <w:sz w:val="21"/>
                <w:szCs w:val="21"/>
              </w:rPr>
              <w:t>5</w:t>
            </w:r>
          </w:p>
        </w:tc>
        <w:tc>
          <w:tcPr>
            <w:tcW w:w="4551" w:type="pct"/>
            <w:gridSpan w:val="2"/>
            <w:tcBorders>
              <w:top w:val="single" w:color="auto" w:sz="4" w:space="0"/>
              <w:left w:val="nil"/>
              <w:bottom w:val="single" w:color="auto" w:sz="4" w:space="0"/>
              <w:right w:val="single" w:color="auto" w:sz="4" w:space="0"/>
            </w:tcBorders>
            <w:noWrap w:val="0"/>
            <w:vAlign w:val="center"/>
          </w:tcPr>
          <w:p w14:paraId="3E276D7E">
            <w:pPr>
              <w:pStyle w:val="6"/>
              <w:spacing w:after="0" w:line="240" w:lineRule="auto"/>
              <w:ind w:firstLine="420"/>
              <w:rPr>
                <w:rFonts w:hint="eastAsia"/>
                <w:color w:val="auto"/>
                <w:sz w:val="21"/>
                <w:szCs w:val="21"/>
              </w:rPr>
            </w:pPr>
            <w:r>
              <w:rPr>
                <w:rFonts w:hint="eastAsia"/>
                <w:color w:val="auto"/>
                <w:sz w:val="21"/>
                <w:szCs w:val="21"/>
              </w:rPr>
              <w:t>隔油池设置：生活区食堂洗碗池下方设钢制隔油池，每天清扫、清洗，每周一次清理隔油池，食物残渣桶每天晚间由专门清洁人员收走。</w:t>
            </w:r>
          </w:p>
        </w:tc>
      </w:tr>
      <w:tr w14:paraId="5EE3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A793698">
            <w:pPr>
              <w:pStyle w:val="6"/>
              <w:spacing w:after="0" w:line="240" w:lineRule="auto"/>
              <w:ind w:firstLine="0" w:firstLineChars="0"/>
              <w:jc w:val="center"/>
              <w:rPr>
                <w:rFonts w:hint="eastAsia"/>
                <w:color w:val="auto"/>
                <w:sz w:val="21"/>
                <w:szCs w:val="21"/>
              </w:rPr>
            </w:pPr>
            <w:r>
              <w:rPr>
                <w:rFonts w:hint="eastAsia"/>
                <w:color w:val="auto"/>
                <w:sz w:val="21"/>
                <w:szCs w:val="21"/>
              </w:rPr>
              <w:t>6</w:t>
            </w:r>
          </w:p>
        </w:tc>
        <w:tc>
          <w:tcPr>
            <w:tcW w:w="4551" w:type="pct"/>
            <w:gridSpan w:val="2"/>
            <w:tcBorders>
              <w:top w:val="single" w:color="auto" w:sz="4" w:space="0"/>
              <w:left w:val="nil"/>
              <w:bottom w:val="single" w:color="auto" w:sz="4" w:space="0"/>
              <w:right w:val="single" w:color="auto" w:sz="4" w:space="0"/>
            </w:tcBorders>
            <w:noWrap w:val="0"/>
            <w:vAlign w:val="center"/>
          </w:tcPr>
          <w:p w14:paraId="5E97E6EB">
            <w:pPr>
              <w:pStyle w:val="6"/>
              <w:spacing w:after="0" w:line="240" w:lineRule="auto"/>
              <w:ind w:firstLine="420"/>
              <w:rPr>
                <w:rFonts w:hint="eastAsia"/>
                <w:color w:val="auto"/>
                <w:sz w:val="21"/>
                <w:szCs w:val="21"/>
              </w:rPr>
            </w:pPr>
            <w:r>
              <w:rPr>
                <w:rFonts w:hint="eastAsia"/>
                <w:color w:val="auto"/>
                <w:sz w:val="21"/>
                <w:szCs w:val="21"/>
              </w:rPr>
              <w:t>现场厕所采用水冲式，化粪池经过沉淀后，由有资质的环卫部门对化粪池进行清运。</w:t>
            </w:r>
          </w:p>
        </w:tc>
      </w:tr>
      <w:tr w14:paraId="2F36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B4B142A">
            <w:pPr>
              <w:pStyle w:val="6"/>
              <w:spacing w:after="0" w:line="240" w:lineRule="auto"/>
              <w:ind w:firstLine="0" w:firstLineChars="0"/>
              <w:jc w:val="center"/>
              <w:rPr>
                <w:rFonts w:hint="eastAsia"/>
                <w:color w:val="auto"/>
                <w:sz w:val="21"/>
                <w:szCs w:val="21"/>
              </w:rPr>
            </w:pPr>
            <w:r>
              <w:rPr>
                <w:rFonts w:hint="eastAsia"/>
                <w:color w:val="auto"/>
                <w:sz w:val="21"/>
                <w:szCs w:val="21"/>
              </w:rPr>
              <w:t>7</w:t>
            </w:r>
          </w:p>
        </w:tc>
        <w:tc>
          <w:tcPr>
            <w:tcW w:w="4551" w:type="pct"/>
            <w:gridSpan w:val="2"/>
            <w:tcBorders>
              <w:top w:val="single" w:color="auto" w:sz="4" w:space="0"/>
              <w:left w:val="nil"/>
              <w:bottom w:val="single" w:color="auto" w:sz="4" w:space="0"/>
              <w:right w:val="single" w:color="auto" w:sz="4" w:space="0"/>
            </w:tcBorders>
            <w:noWrap w:val="0"/>
            <w:vAlign w:val="center"/>
          </w:tcPr>
          <w:p w14:paraId="7014FB80">
            <w:pPr>
              <w:pStyle w:val="6"/>
              <w:spacing w:after="0" w:line="240" w:lineRule="auto"/>
              <w:ind w:firstLine="420"/>
              <w:rPr>
                <w:rFonts w:hint="eastAsia"/>
                <w:color w:val="auto"/>
                <w:sz w:val="21"/>
                <w:szCs w:val="21"/>
              </w:rPr>
            </w:pPr>
            <w:r>
              <w:rPr>
                <w:rFonts w:hint="eastAsia"/>
                <w:color w:val="auto"/>
                <w:sz w:val="21"/>
                <w:szCs w:val="21"/>
              </w:rPr>
              <w:t>现场交通道路和材料堆放场地统一规划排水沟，控制污水流向，设置沉淀池，将污水经沉淀后再排入市政污水管线，严防施工污水直接排入市政污水管线或流出施工区域污染环境。</w:t>
            </w:r>
          </w:p>
        </w:tc>
      </w:tr>
      <w:tr w14:paraId="0244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23C2588">
            <w:pPr>
              <w:pStyle w:val="6"/>
              <w:spacing w:after="0" w:line="240" w:lineRule="auto"/>
              <w:ind w:firstLine="0" w:firstLineChars="0"/>
              <w:jc w:val="center"/>
              <w:rPr>
                <w:rFonts w:hint="eastAsia"/>
                <w:color w:val="auto"/>
                <w:sz w:val="21"/>
                <w:szCs w:val="21"/>
              </w:rPr>
            </w:pPr>
            <w:r>
              <w:rPr>
                <w:rFonts w:hint="eastAsia"/>
                <w:color w:val="auto"/>
                <w:sz w:val="21"/>
                <w:szCs w:val="21"/>
              </w:rPr>
              <w:t>8</w:t>
            </w:r>
          </w:p>
        </w:tc>
        <w:tc>
          <w:tcPr>
            <w:tcW w:w="4551" w:type="pct"/>
            <w:gridSpan w:val="2"/>
            <w:tcBorders>
              <w:top w:val="single" w:color="auto" w:sz="4" w:space="0"/>
              <w:left w:val="nil"/>
              <w:bottom w:val="single" w:color="auto" w:sz="4" w:space="0"/>
              <w:right w:val="single" w:color="auto" w:sz="4" w:space="0"/>
            </w:tcBorders>
            <w:noWrap w:val="0"/>
            <w:vAlign w:val="center"/>
          </w:tcPr>
          <w:p w14:paraId="5B7CBE03">
            <w:pPr>
              <w:pStyle w:val="6"/>
              <w:spacing w:after="0" w:line="240" w:lineRule="auto"/>
              <w:ind w:firstLine="420"/>
              <w:rPr>
                <w:rFonts w:hint="eastAsia"/>
                <w:color w:val="auto"/>
                <w:sz w:val="21"/>
                <w:szCs w:val="21"/>
              </w:rPr>
            </w:pPr>
            <w:r>
              <w:rPr>
                <w:rFonts w:hint="eastAsia"/>
                <w:color w:val="auto"/>
                <w:sz w:val="21"/>
                <w:szCs w:val="21"/>
              </w:rPr>
              <w:t>清洗机械排出的污水，要有组织地通过现场排水系统，经沉淀后排入市政排水管道。机械润滑油流入专设油池集中处理，不准直接排入下水道，铁屑杂物回收处理。混凝土泵、搅拌车及其他运输车辆出现场需清洗，清洗处设置沉淀池。废水排入沉淀池内，经二次沉淀后，再排入市政污水管线或回收用于洒水降尘。未经处理的泥浆水，严禁直接排入市政排水系统。</w:t>
            </w:r>
          </w:p>
        </w:tc>
      </w:tr>
      <w:tr w14:paraId="2B7A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EE76C13">
            <w:pPr>
              <w:pStyle w:val="6"/>
              <w:spacing w:after="0" w:line="240" w:lineRule="auto"/>
              <w:ind w:firstLine="0" w:firstLineChars="0"/>
              <w:jc w:val="center"/>
              <w:rPr>
                <w:rFonts w:hint="eastAsia"/>
                <w:color w:val="auto"/>
                <w:sz w:val="21"/>
                <w:szCs w:val="21"/>
              </w:rPr>
            </w:pPr>
            <w:r>
              <w:rPr>
                <w:rFonts w:hint="eastAsia"/>
                <w:color w:val="auto"/>
                <w:sz w:val="21"/>
                <w:szCs w:val="21"/>
              </w:rPr>
              <w:t>9</w:t>
            </w:r>
          </w:p>
        </w:tc>
        <w:tc>
          <w:tcPr>
            <w:tcW w:w="2274" w:type="pct"/>
            <w:tcBorders>
              <w:top w:val="single" w:color="auto" w:sz="4" w:space="0"/>
              <w:left w:val="nil"/>
              <w:bottom w:val="single" w:color="auto" w:sz="4" w:space="0"/>
              <w:right w:val="single" w:color="auto" w:sz="4" w:space="0"/>
            </w:tcBorders>
            <w:noWrap w:val="0"/>
            <w:vAlign w:val="center"/>
          </w:tcPr>
          <w:p w14:paraId="180730F3">
            <w:pPr>
              <w:pStyle w:val="6"/>
              <w:spacing w:after="0" w:line="240" w:lineRule="auto"/>
              <w:ind w:firstLine="0" w:firstLineChars="0"/>
              <w:jc w:val="center"/>
              <w:rPr>
                <w:rFonts w:hint="eastAsia"/>
                <w:color w:val="auto"/>
                <w:sz w:val="21"/>
                <w:szCs w:val="21"/>
              </w:rPr>
            </w:pPr>
            <w:r>
              <w:rPr>
                <w:rFonts w:hint="eastAsia"/>
                <w:color w:val="auto"/>
                <w:sz w:val="21"/>
                <w:szCs w:val="21"/>
              </w:rPr>
              <w:drawing>
                <wp:inline distT="0" distB="0" distL="114300" distR="114300">
                  <wp:extent cx="1934210" cy="1371600"/>
                  <wp:effectExtent l="0" t="0" r="8890" b="0"/>
                  <wp:docPr id="41" name="图片 529"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29" descr="wps1"/>
                          <pic:cNvPicPr>
                            <a:picLocks noChangeAspect="1"/>
                          </pic:cNvPicPr>
                        </pic:nvPicPr>
                        <pic:blipFill>
                          <a:blip r:embed="rId65"/>
                          <a:stretch>
                            <a:fillRect/>
                          </a:stretch>
                        </pic:blipFill>
                        <pic:spPr>
                          <a:xfrm>
                            <a:off x="0" y="0"/>
                            <a:ext cx="1934210" cy="1371600"/>
                          </a:xfrm>
                          <a:prstGeom prst="rect">
                            <a:avLst/>
                          </a:prstGeom>
                          <a:noFill/>
                          <a:ln>
                            <a:noFill/>
                          </a:ln>
                        </pic:spPr>
                      </pic:pic>
                    </a:graphicData>
                  </a:graphic>
                </wp:inline>
              </w:drawing>
            </w:r>
          </w:p>
          <w:p w14:paraId="7BDE6D33">
            <w:pPr>
              <w:pStyle w:val="6"/>
              <w:spacing w:after="0" w:line="240" w:lineRule="auto"/>
              <w:ind w:firstLine="0" w:firstLineChars="0"/>
              <w:jc w:val="center"/>
              <w:rPr>
                <w:rFonts w:hint="eastAsia"/>
                <w:color w:val="auto"/>
                <w:sz w:val="21"/>
                <w:szCs w:val="21"/>
              </w:rPr>
            </w:pPr>
            <w:r>
              <w:rPr>
                <w:rFonts w:hint="eastAsia"/>
                <w:color w:val="auto"/>
                <w:sz w:val="21"/>
                <w:szCs w:val="21"/>
              </w:rPr>
              <w:t>洗污水回收池</w:t>
            </w:r>
          </w:p>
        </w:tc>
        <w:tc>
          <w:tcPr>
            <w:tcW w:w="2277" w:type="pct"/>
            <w:tcBorders>
              <w:top w:val="single" w:color="auto" w:sz="4" w:space="0"/>
              <w:left w:val="nil"/>
              <w:bottom w:val="single" w:color="auto" w:sz="4" w:space="0"/>
              <w:right w:val="single" w:color="auto" w:sz="4" w:space="0"/>
            </w:tcBorders>
            <w:noWrap w:val="0"/>
            <w:vAlign w:val="center"/>
          </w:tcPr>
          <w:p w14:paraId="12BBE519">
            <w:pPr>
              <w:pStyle w:val="6"/>
              <w:spacing w:after="0" w:line="240" w:lineRule="auto"/>
              <w:ind w:firstLine="0" w:firstLineChars="0"/>
              <w:jc w:val="center"/>
              <w:rPr>
                <w:rFonts w:hint="eastAsia"/>
                <w:color w:val="auto"/>
                <w:sz w:val="21"/>
                <w:szCs w:val="21"/>
              </w:rPr>
            </w:pPr>
            <w:r>
              <w:rPr>
                <w:rFonts w:hint="eastAsia"/>
                <w:color w:val="auto"/>
                <w:sz w:val="21"/>
                <w:szCs w:val="21"/>
              </w:rPr>
              <w:drawing>
                <wp:inline distT="0" distB="0" distL="114300" distR="114300">
                  <wp:extent cx="2142490" cy="1379855"/>
                  <wp:effectExtent l="0" t="0" r="3810" b="4445"/>
                  <wp:docPr id="42" name="图片 530" descr="wp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530" descr="wps2"/>
                          <pic:cNvPicPr>
                            <a:picLocks noChangeAspect="1"/>
                          </pic:cNvPicPr>
                        </pic:nvPicPr>
                        <pic:blipFill>
                          <a:blip r:embed="rId66"/>
                          <a:stretch>
                            <a:fillRect/>
                          </a:stretch>
                        </pic:blipFill>
                        <pic:spPr>
                          <a:xfrm>
                            <a:off x="0" y="0"/>
                            <a:ext cx="2142490" cy="1379855"/>
                          </a:xfrm>
                          <a:prstGeom prst="rect">
                            <a:avLst/>
                          </a:prstGeom>
                          <a:noFill/>
                          <a:ln>
                            <a:noFill/>
                          </a:ln>
                        </pic:spPr>
                      </pic:pic>
                    </a:graphicData>
                  </a:graphic>
                </wp:inline>
              </w:drawing>
            </w:r>
          </w:p>
          <w:p w14:paraId="5CE4E6DD">
            <w:pPr>
              <w:pStyle w:val="6"/>
              <w:spacing w:after="0" w:line="240" w:lineRule="auto"/>
              <w:ind w:firstLine="0" w:firstLineChars="0"/>
              <w:jc w:val="center"/>
              <w:rPr>
                <w:rFonts w:hint="eastAsia"/>
                <w:color w:val="auto"/>
                <w:sz w:val="21"/>
                <w:szCs w:val="21"/>
              </w:rPr>
            </w:pPr>
            <w:r>
              <w:rPr>
                <w:rFonts w:hint="eastAsia"/>
                <w:color w:val="auto"/>
                <w:sz w:val="21"/>
                <w:szCs w:val="21"/>
              </w:rPr>
              <w:t>隔油池清理</w:t>
            </w:r>
          </w:p>
        </w:tc>
      </w:tr>
    </w:tbl>
    <w:p w14:paraId="47D209F9">
      <w:pPr>
        <w:pStyle w:val="6"/>
        <w:ind w:firstLine="480"/>
        <w:rPr>
          <w:rFonts w:hint="eastAsia"/>
          <w:color w:val="auto"/>
        </w:rPr>
      </w:pPr>
      <w:bookmarkStart w:id="66" w:name="_Toc296604939"/>
      <w:bookmarkEnd w:id="66"/>
      <w:bookmarkStart w:id="67" w:name="_Toc296604940"/>
      <w:r>
        <w:rPr>
          <w:rFonts w:hint="eastAsia"/>
          <w:color w:val="auto"/>
        </w:rPr>
        <w:t>5、土壤保护</w:t>
      </w:r>
      <w:bookmarkEnd w:id="67"/>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4221"/>
        <w:gridCol w:w="4231"/>
      </w:tblGrid>
      <w:tr w14:paraId="3DA3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9E4BB9D">
            <w:pPr>
              <w:pStyle w:val="6"/>
              <w:spacing w:after="0" w:line="240" w:lineRule="auto"/>
              <w:ind w:firstLine="0" w:firstLineChars="0"/>
              <w:jc w:val="center"/>
              <w:rPr>
                <w:rFonts w:hint="eastAsia"/>
                <w:color w:val="auto"/>
                <w:sz w:val="21"/>
                <w:szCs w:val="21"/>
              </w:rPr>
            </w:pPr>
            <w:r>
              <w:rPr>
                <w:rFonts w:hint="eastAsia"/>
                <w:color w:val="auto"/>
                <w:sz w:val="21"/>
                <w:szCs w:val="21"/>
              </w:rPr>
              <w:t>序号</w:t>
            </w:r>
          </w:p>
        </w:tc>
        <w:tc>
          <w:tcPr>
            <w:tcW w:w="4551" w:type="pct"/>
            <w:gridSpan w:val="2"/>
            <w:tcBorders>
              <w:top w:val="single" w:color="auto" w:sz="4" w:space="0"/>
              <w:left w:val="nil"/>
              <w:bottom w:val="single" w:color="auto" w:sz="4" w:space="0"/>
              <w:right w:val="single" w:color="auto" w:sz="4" w:space="0"/>
            </w:tcBorders>
            <w:noWrap w:val="0"/>
            <w:vAlign w:val="center"/>
          </w:tcPr>
          <w:p w14:paraId="416BE105">
            <w:pPr>
              <w:pStyle w:val="6"/>
              <w:spacing w:after="0" w:line="240" w:lineRule="auto"/>
              <w:ind w:firstLine="0" w:firstLineChars="0"/>
              <w:jc w:val="center"/>
              <w:rPr>
                <w:rFonts w:hint="eastAsia"/>
                <w:color w:val="auto"/>
                <w:sz w:val="21"/>
                <w:szCs w:val="21"/>
              </w:rPr>
            </w:pPr>
            <w:r>
              <w:rPr>
                <w:rFonts w:hint="eastAsia"/>
                <w:color w:val="auto"/>
                <w:sz w:val="21"/>
                <w:szCs w:val="21"/>
              </w:rPr>
              <w:t>具体措施</w:t>
            </w:r>
          </w:p>
        </w:tc>
      </w:tr>
      <w:tr w14:paraId="507D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86AD569">
            <w:pPr>
              <w:pStyle w:val="6"/>
              <w:spacing w:after="0" w:line="240" w:lineRule="auto"/>
              <w:ind w:firstLine="0" w:firstLineChars="0"/>
              <w:jc w:val="center"/>
              <w:rPr>
                <w:rFonts w:hint="eastAsia"/>
                <w:color w:val="auto"/>
                <w:sz w:val="21"/>
                <w:szCs w:val="21"/>
              </w:rPr>
            </w:pPr>
            <w:r>
              <w:rPr>
                <w:rFonts w:hint="eastAsia"/>
                <w:color w:val="auto"/>
                <w:sz w:val="21"/>
                <w:szCs w:val="21"/>
              </w:rPr>
              <w:t>1</w:t>
            </w:r>
          </w:p>
        </w:tc>
        <w:tc>
          <w:tcPr>
            <w:tcW w:w="4551" w:type="pct"/>
            <w:gridSpan w:val="2"/>
            <w:tcBorders>
              <w:top w:val="single" w:color="auto" w:sz="4" w:space="0"/>
              <w:left w:val="nil"/>
              <w:bottom w:val="single" w:color="auto" w:sz="4" w:space="0"/>
              <w:right w:val="single" w:color="auto" w:sz="4" w:space="0"/>
            </w:tcBorders>
            <w:noWrap w:val="0"/>
            <w:vAlign w:val="center"/>
          </w:tcPr>
          <w:p w14:paraId="0C5CE6AA">
            <w:pPr>
              <w:pStyle w:val="6"/>
              <w:spacing w:after="0" w:line="240" w:lineRule="auto"/>
              <w:ind w:firstLine="0" w:firstLineChars="0"/>
              <w:jc w:val="center"/>
              <w:rPr>
                <w:rFonts w:hint="eastAsia"/>
                <w:color w:val="auto"/>
                <w:sz w:val="21"/>
                <w:szCs w:val="21"/>
              </w:rPr>
            </w:pPr>
            <w:r>
              <w:rPr>
                <w:rFonts w:hint="eastAsia"/>
                <w:color w:val="auto"/>
                <w:sz w:val="21"/>
                <w:szCs w:val="21"/>
              </w:rPr>
              <w:t>办公、生活区临时设施采用二层活动房，减少占地面积。</w:t>
            </w:r>
          </w:p>
        </w:tc>
      </w:tr>
      <w:tr w14:paraId="0EC2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08F48FD">
            <w:pPr>
              <w:pStyle w:val="6"/>
              <w:spacing w:after="0" w:line="240" w:lineRule="auto"/>
              <w:ind w:firstLine="0" w:firstLineChars="0"/>
              <w:jc w:val="center"/>
              <w:rPr>
                <w:rFonts w:hint="eastAsia"/>
                <w:color w:val="auto"/>
                <w:sz w:val="21"/>
                <w:szCs w:val="21"/>
              </w:rPr>
            </w:pPr>
            <w:r>
              <w:rPr>
                <w:rFonts w:hint="eastAsia"/>
                <w:color w:val="auto"/>
                <w:sz w:val="21"/>
                <w:szCs w:val="21"/>
              </w:rPr>
              <w:t>2</w:t>
            </w:r>
          </w:p>
        </w:tc>
        <w:tc>
          <w:tcPr>
            <w:tcW w:w="4551" w:type="pct"/>
            <w:gridSpan w:val="2"/>
            <w:tcBorders>
              <w:top w:val="single" w:color="auto" w:sz="4" w:space="0"/>
              <w:left w:val="nil"/>
              <w:bottom w:val="single" w:color="auto" w:sz="4" w:space="0"/>
              <w:right w:val="single" w:color="auto" w:sz="4" w:space="0"/>
            </w:tcBorders>
            <w:noWrap w:val="0"/>
            <w:vAlign w:val="center"/>
          </w:tcPr>
          <w:p w14:paraId="533C50D8">
            <w:pPr>
              <w:pStyle w:val="6"/>
              <w:spacing w:after="0" w:line="240" w:lineRule="auto"/>
              <w:ind w:firstLine="0" w:firstLineChars="0"/>
              <w:jc w:val="center"/>
              <w:rPr>
                <w:rFonts w:hint="eastAsia"/>
                <w:color w:val="auto"/>
                <w:sz w:val="21"/>
                <w:szCs w:val="21"/>
              </w:rPr>
            </w:pPr>
            <w:r>
              <w:rPr>
                <w:rFonts w:hint="eastAsia"/>
                <w:color w:val="auto"/>
                <w:sz w:val="21"/>
                <w:szCs w:val="21"/>
              </w:rPr>
              <w:t>所有油品、用油的机械设备下方设置接油盘，防止油品污染土地。</w:t>
            </w:r>
          </w:p>
        </w:tc>
      </w:tr>
      <w:tr w14:paraId="2748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2AB8CF4">
            <w:pPr>
              <w:pStyle w:val="6"/>
              <w:spacing w:after="0" w:line="240" w:lineRule="auto"/>
              <w:ind w:firstLine="0" w:firstLineChars="0"/>
              <w:jc w:val="center"/>
              <w:rPr>
                <w:rFonts w:hint="eastAsia"/>
                <w:color w:val="auto"/>
                <w:sz w:val="21"/>
                <w:szCs w:val="21"/>
              </w:rPr>
            </w:pPr>
            <w:r>
              <w:rPr>
                <w:rFonts w:hint="eastAsia"/>
                <w:color w:val="auto"/>
                <w:sz w:val="21"/>
                <w:szCs w:val="21"/>
              </w:rPr>
              <w:t>3</w:t>
            </w:r>
          </w:p>
        </w:tc>
        <w:tc>
          <w:tcPr>
            <w:tcW w:w="4551" w:type="pct"/>
            <w:gridSpan w:val="2"/>
            <w:tcBorders>
              <w:top w:val="single" w:color="auto" w:sz="4" w:space="0"/>
              <w:left w:val="nil"/>
              <w:bottom w:val="single" w:color="auto" w:sz="4" w:space="0"/>
              <w:right w:val="single" w:color="auto" w:sz="4" w:space="0"/>
            </w:tcBorders>
            <w:noWrap w:val="0"/>
            <w:vAlign w:val="center"/>
          </w:tcPr>
          <w:p w14:paraId="0C499301">
            <w:pPr>
              <w:pStyle w:val="6"/>
              <w:spacing w:after="0" w:line="240" w:lineRule="auto"/>
              <w:ind w:firstLine="0" w:firstLineChars="0"/>
              <w:jc w:val="center"/>
              <w:rPr>
                <w:rFonts w:hint="eastAsia"/>
                <w:color w:val="auto"/>
                <w:sz w:val="21"/>
                <w:szCs w:val="21"/>
              </w:rPr>
            </w:pPr>
            <w:r>
              <w:rPr>
                <w:rFonts w:hint="eastAsia"/>
                <w:color w:val="auto"/>
                <w:sz w:val="21"/>
                <w:szCs w:val="21"/>
              </w:rPr>
              <w:t>现场雨水、洗车经沉淀池后排入市政雨水管道，避免水流带走地表土。</w:t>
            </w:r>
          </w:p>
        </w:tc>
      </w:tr>
      <w:tr w14:paraId="0AB1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CB1F7AB">
            <w:pPr>
              <w:pStyle w:val="6"/>
              <w:spacing w:after="0" w:line="240" w:lineRule="auto"/>
              <w:ind w:firstLine="0" w:firstLineChars="0"/>
              <w:jc w:val="center"/>
              <w:rPr>
                <w:rFonts w:hint="eastAsia"/>
                <w:color w:val="auto"/>
                <w:sz w:val="21"/>
                <w:szCs w:val="21"/>
              </w:rPr>
            </w:pPr>
            <w:r>
              <w:rPr>
                <w:rFonts w:hint="eastAsia"/>
                <w:color w:val="auto"/>
                <w:sz w:val="21"/>
                <w:szCs w:val="21"/>
              </w:rPr>
              <w:t>4</w:t>
            </w:r>
          </w:p>
        </w:tc>
        <w:tc>
          <w:tcPr>
            <w:tcW w:w="4551" w:type="pct"/>
            <w:gridSpan w:val="2"/>
            <w:tcBorders>
              <w:top w:val="single" w:color="auto" w:sz="4" w:space="0"/>
              <w:left w:val="nil"/>
              <w:bottom w:val="single" w:color="auto" w:sz="4" w:space="0"/>
              <w:right w:val="single" w:color="auto" w:sz="4" w:space="0"/>
            </w:tcBorders>
            <w:noWrap w:val="0"/>
            <w:vAlign w:val="center"/>
          </w:tcPr>
          <w:p w14:paraId="7DA37AB2">
            <w:pPr>
              <w:pStyle w:val="6"/>
              <w:spacing w:after="0" w:line="240" w:lineRule="auto"/>
              <w:ind w:firstLine="0" w:firstLineChars="0"/>
              <w:jc w:val="center"/>
              <w:rPr>
                <w:rFonts w:hint="eastAsia"/>
                <w:color w:val="auto"/>
                <w:sz w:val="21"/>
                <w:szCs w:val="21"/>
              </w:rPr>
            </w:pPr>
            <w:r>
              <w:rPr>
                <w:rFonts w:hint="eastAsia"/>
                <w:color w:val="auto"/>
                <w:sz w:val="21"/>
                <w:szCs w:val="21"/>
              </w:rPr>
              <w:t>所有隔油池、沉淀池、化粪池等做到不发生堵塞、渗漏、溢出等现象。</w:t>
            </w:r>
          </w:p>
        </w:tc>
      </w:tr>
      <w:tr w14:paraId="4CF9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89BF815">
            <w:pPr>
              <w:pStyle w:val="6"/>
              <w:spacing w:after="0" w:line="240" w:lineRule="auto"/>
              <w:ind w:firstLine="0" w:firstLineChars="0"/>
              <w:jc w:val="center"/>
              <w:rPr>
                <w:rFonts w:hint="eastAsia"/>
                <w:color w:val="auto"/>
                <w:sz w:val="21"/>
                <w:szCs w:val="21"/>
              </w:rPr>
            </w:pPr>
            <w:r>
              <w:rPr>
                <w:rFonts w:hint="eastAsia"/>
                <w:color w:val="auto"/>
                <w:sz w:val="21"/>
                <w:szCs w:val="21"/>
              </w:rPr>
              <w:t>5</w:t>
            </w:r>
          </w:p>
        </w:tc>
        <w:tc>
          <w:tcPr>
            <w:tcW w:w="4551" w:type="pct"/>
            <w:gridSpan w:val="2"/>
            <w:tcBorders>
              <w:top w:val="single" w:color="auto" w:sz="4" w:space="0"/>
              <w:left w:val="nil"/>
              <w:bottom w:val="single" w:color="auto" w:sz="4" w:space="0"/>
              <w:right w:val="single" w:color="auto" w:sz="4" w:space="0"/>
            </w:tcBorders>
            <w:noWrap w:val="0"/>
            <w:vAlign w:val="center"/>
          </w:tcPr>
          <w:p w14:paraId="3B022E9B">
            <w:pPr>
              <w:pStyle w:val="6"/>
              <w:spacing w:after="0" w:line="240" w:lineRule="auto"/>
              <w:ind w:firstLine="0" w:firstLineChars="0"/>
              <w:jc w:val="center"/>
              <w:rPr>
                <w:rFonts w:hint="eastAsia"/>
                <w:color w:val="auto"/>
                <w:sz w:val="21"/>
                <w:szCs w:val="21"/>
              </w:rPr>
            </w:pPr>
            <w:r>
              <w:rPr>
                <w:rFonts w:hint="eastAsia"/>
                <w:color w:val="auto"/>
                <w:sz w:val="21"/>
                <w:szCs w:val="21"/>
              </w:rPr>
              <w:t>对于有毒有害废弃物如电池、墨盒、油漆、涂料等回收后交有资质的单位处理，不作为建筑垃圾外运，避免污染土壤和地下水。</w:t>
            </w:r>
          </w:p>
        </w:tc>
      </w:tr>
      <w:tr w14:paraId="4445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9A8B5B4">
            <w:pPr>
              <w:pStyle w:val="6"/>
              <w:spacing w:after="0" w:line="240" w:lineRule="auto"/>
              <w:ind w:firstLine="0" w:firstLineChars="0"/>
              <w:jc w:val="center"/>
              <w:rPr>
                <w:rFonts w:hint="eastAsia"/>
                <w:color w:val="auto"/>
                <w:sz w:val="21"/>
                <w:szCs w:val="21"/>
              </w:rPr>
            </w:pPr>
            <w:r>
              <w:rPr>
                <w:rFonts w:hint="eastAsia"/>
                <w:color w:val="auto"/>
                <w:sz w:val="21"/>
                <w:szCs w:val="21"/>
              </w:rPr>
              <w:t>6</w:t>
            </w:r>
          </w:p>
        </w:tc>
        <w:tc>
          <w:tcPr>
            <w:tcW w:w="2273" w:type="pct"/>
            <w:tcBorders>
              <w:top w:val="single" w:color="auto" w:sz="4" w:space="0"/>
              <w:left w:val="nil"/>
              <w:bottom w:val="single" w:color="auto" w:sz="4" w:space="0"/>
              <w:right w:val="single" w:color="auto" w:sz="4" w:space="0"/>
            </w:tcBorders>
            <w:noWrap w:val="0"/>
            <w:vAlign w:val="center"/>
          </w:tcPr>
          <w:p w14:paraId="3A16A015">
            <w:pPr>
              <w:pStyle w:val="6"/>
              <w:spacing w:after="0" w:line="240" w:lineRule="auto"/>
              <w:ind w:firstLine="0" w:firstLineChars="0"/>
              <w:jc w:val="center"/>
              <w:rPr>
                <w:rFonts w:hint="eastAsia"/>
                <w:color w:val="auto"/>
                <w:sz w:val="21"/>
                <w:szCs w:val="21"/>
              </w:rPr>
            </w:pPr>
            <w:r>
              <w:rPr>
                <w:rFonts w:hint="eastAsia"/>
                <w:color w:val="auto"/>
                <w:sz w:val="21"/>
                <w:szCs w:val="21"/>
              </w:rPr>
              <w:drawing>
                <wp:inline distT="0" distB="0" distL="114300" distR="114300">
                  <wp:extent cx="2285365" cy="1409700"/>
                  <wp:effectExtent l="0" t="0" r="635" b="0"/>
                  <wp:docPr id="43" name="图片 531" descr="wp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531" descr="wps3"/>
                          <pic:cNvPicPr>
                            <a:picLocks noChangeAspect="1"/>
                          </pic:cNvPicPr>
                        </pic:nvPicPr>
                        <pic:blipFill>
                          <a:blip r:embed="rId67"/>
                          <a:stretch>
                            <a:fillRect/>
                          </a:stretch>
                        </pic:blipFill>
                        <pic:spPr>
                          <a:xfrm>
                            <a:off x="0" y="0"/>
                            <a:ext cx="2285365" cy="1409700"/>
                          </a:xfrm>
                          <a:prstGeom prst="rect">
                            <a:avLst/>
                          </a:prstGeom>
                          <a:noFill/>
                          <a:ln>
                            <a:noFill/>
                          </a:ln>
                        </pic:spPr>
                      </pic:pic>
                    </a:graphicData>
                  </a:graphic>
                </wp:inline>
              </w:drawing>
            </w:r>
          </w:p>
          <w:p w14:paraId="207E2E1B">
            <w:pPr>
              <w:pStyle w:val="6"/>
              <w:spacing w:after="0" w:line="240" w:lineRule="auto"/>
              <w:ind w:firstLine="0" w:firstLineChars="0"/>
              <w:jc w:val="center"/>
              <w:rPr>
                <w:rFonts w:hint="eastAsia"/>
                <w:color w:val="auto"/>
                <w:sz w:val="21"/>
                <w:szCs w:val="21"/>
              </w:rPr>
            </w:pPr>
            <w:r>
              <w:rPr>
                <w:rFonts w:hint="eastAsia"/>
                <w:color w:val="auto"/>
                <w:sz w:val="21"/>
                <w:szCs w:val="21"/>
              </w:rPr>
              <w:t>办公生活区场地绿化</w:t>
            </w:r>
          </w:p>
        </w:tc>
        <w:tc>
          <w:tcPr>
            <w:tcW w:w="2278" w:type="pct"/>
            <w:tcBorders>
              <w:top w:val="single" w:color="auto" w:sz="4" w:space="0"/>
              <w:left w:val="nil"/>
              <w:bottom w:val="single" w:color="auto" w:sz="4" w:space="0"/>
              <w:right w:val="single" w:color="auto" w:sz="4" w:space="0"/>
            </w:tcBorders>
            <w:noWrap w:val="0"/>
            <w:vAlign w:val="center"/>
          </w:tcPr>
          <w:p w14:paraId="05D5DDED">
            <w:pPr>
              <w:pStyle w:val="6"/>
              <w:spacing w:after="0" w:line="240" w:lineRule="auto"/>
              <w:ind w:firstLine="0" w:firstLineChars="0"/>
              <w:jc w:val="center"/>
              <w:rPr>
                <w:rFonts w:hint="eastAsia"/>
                <w:color w:val="auto"/>
                <w:sz w:val="21"/>
                <w:szCs w:val="21"/>
              </w:rPr>
            </w:pPr>
            <w:r>
              <w:rPr>
                <w:rFonts w:hint="eastAsia"/>
                <w:color w:val="auto"/>
                <w:sz w:val="21"/>
                <w:szCs w:val="21"/>
              </w:rPr>
              <w:drawing>
                <wp:inline distT="0" distB="0" distL="114300" distR="114300">
                  <wp:extent cx="2095500" cy="1409700"/>
                  <wp:effectExtent l="0" t="0" r="0" b="0"/>
                  <wp:docPr id="44" name="图片 532" descr="wp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32" descr="wps4"/>
                          <pic:cNvPicPr>
                            <a:picLocks noChangeAspect="1"/>
                          </pic:cNvPicPr>
                        </pic:nvPicPr>
                        <pic:blipFill>
                          <a:blip r:embed="rId68"/>
                          <a:stretch>
                            <a:fillRect/>
                          </a:stretch>
                        </pic:blipFill>
                        <pic:spPr>
                          <a:xfrm>
                            <a:off x="0" y="0"/>
                            <a:ext cx="2095500" cy="1409700"/>
                          </a:xfrm>
                          <a:prstGeom prst="rect">
                            <a:avLst/>
                          </a:prstGeom>
                          <a:noFill/>
                          <a:ln>
                            <a:noFill/>
                          </a:ln>
                        </pic:spPr>
                      </pic:pic>
                    </a:graphicData>
                  </a:graphic>
                </wp:inline>
              </w:drawing>
            </w:r>
          </w:p>
          <w:p w14:paraId="3FD7E9B7">
            <w:pPr>
              <w:pStyle w:val="6"/>
              <w:spacing w:after="0" w:line="240" w:lineRule="auto"/>
              <w:ind w:firstLine="0" w:firstLineChars="0"/>
              <w:jc w:val="center"/>
              <w:rPr>
                <w:rFonts w:hint="eastAsia"/>
                <w:color w:val="auto"/>
                <w:sz w:val="21"/>
                <w:szCs w:val="21"/>
              </w:rPr>
            </w:pPr>
            <w:r>
              <w:rPr>
                <w:rFonts w:hint="eastAsia"/>
                <w:color w:val="auto"/>
                <w:sz w:val="21"/>
                <w:szCs w:val="21"/>
              </w:rPr>
              <w:t>施工现场场地硬化</w:t>
            </w:r>
          </w:p>
        </w:tc>
      </w:tr>
    </w:tbl>
    <w:p w14:paraId="708405E6">
      <w:pPr>
        <w:pStyle w:val="6"/>
        <w:ind w:firstLine="480"/>
        <w:rPr>
          <w:rFonts w:hint="eastAsia"/>
          <w:color w:val="auto"/>
        </w:rPr>
      </w:pPr>
      <w:r>
        <w:rPr>
          <w:rFonts w:hint="eastAsia"/>
          <w:color w:val="auto"/>
        </w:rPr>
        <w:t>6、建筑垃圾控制</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8452"/>
      </w:tblGrid>
      <w:tr w14:paraId="2401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465E104">
            <w:pPr>
              <w:pStyle w:val="6"/>
              <w:spacing w:after="0" w:line="240" w:lineRule="auto"/>
              <w:ind w:firstLine="0" w:firstLineChars="0"/>
              <w:jc w:val="center"/>
              <w:rPr>
                <w:rFonts w:hint="eastAsia"/>
                <w:color w:val="auto"/>
                <w:sz w:val="21"/>
                <w:szCs w:val="21"/>
              </w:rPr>
            </w:pPr>
            <w:r>
              <w:rPr>
                <w:rFonts w:hint="eastAsia"/>
                <w:color w:val="auto"/>
                <w:sz w:val="21"/>
                <w:szCs w:val="21"/>
              </w:rPr>
              <w:t>序号</w:t>
            </w:r>
          </w:p>
        </w:tc>
        <w:tc>
          <w:tcPr>
            <w:tcW w:w="4551" w:type="pct"/>
            <w:tcBorders>
              <w:top w:val="single" w:color="auto" w:sz="4" w:space="0"/>
              <w:left w:val="nil"/>
              <w:bottom w:val="single" w:color="auto" w:sz="4" w:space="0"/>
              <w:right w:val="single" w:color="auto" w:sz="4" w:space="0"/>
            </w:tcBorders>
            <w:noWrap w:val="0"/>
            <w:vAlign w:val="center"/>
          </w:tcPr>
          <w:p w14:paraId="6E3740EF">
            <w:pPr>
              <w:pStyle w:val="6"/>
              <w:spacing w:after="0" w:line="240" w:lineRule="auto"/>
              <w:ind w:firstLine="0" w:firstLineChars="0"/>
              <w:jc w:val="center"/>
              <w:rPr>
                <w:rFonts w:hint="eastAsia"/>
                <w:color w:val="auto"/>
                <w:sz w:val="21"/>
                <w:szCs w:val="21"/>
              </w:rPr>
            </w:pPr>
            <w:r>
              <w:rPr>
                <w:rFonts w:hint="eastAsia"/>
                <w:color w:val="auto"/>
                <w:sz w:val="21"/>
                <w:szCs w:val="21"/>
              </w:rPr>
              <w:t>具体措施</w:t>
            </w:r>
          </w:p>
        </w:tc>
      </w:tr>
      <w:tr w14:paraId="5DF1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BECECE8">
            <w:pPr>
              <w:pStyle w:val="6"/>
              <w:spacing w:after="0" w:line="240" w:lineRule="auto"/>
              <w:ind w:firstLine="0" w:firstLineChars="0"/>
              <w:jc w:val="center"/>
              <w:rPr>
                <w:rFonts w:hint="eastAsia"/>
                <w:color w:val="auto"/>
                <w:sz w:val="21"/>
                <w:szCs w:val="21"/>
              </w:rPr>
            </w:pPr>
            <w:r>
              <w:rPr>
                <w:rFonts w:hint="eastAsia"/>
                <w:color w:val="auto"/>
                <w:sz w:val="21"/>
                <w:szCs w:val="21"/>
              </w:rPr>
              <w:t>1</w:t>
            </w:r>
          </w:p>
        </w:tc>
        <w:tc>
          <w:tcPr>
            <w:tcW w:w="4551" w:type="pct"/>
            <w:tcBorders>
              <w:top w:val="single" w:color="auto" w:sz="4" w:space="0"/>
              <w:left w:val="nil"/>
              <w:bottom w:val="single" w:color="auto" w:sz="4" w:space="0"/>
              <w:right w:val="single" w:color="auto" w:sz="4" w:space="0"/>
            </w:tcBorders>
            <w:noWrap w:val="0"/>
            <w:vAlign w:val="center"/>
          </w:tcPr>
          <w:p w14:paraId="34FD31B8">
            <w:pPr>
              <w:pStyle w:val="6"/>
              <w:spacing w:after="0" w:line="240" w:lineRule="auto"/>
              <w:ind w:firstLine="420"/>
              <w:rPr>
                <w:rFonts w:hint="eastAsia"/>
                <w:color w:val="auto"/>
                <w:sz w:val="21"/>
                <w:szCs w:val="21"/>
              </w:rPr>
            </w:pPr>
            <w:r>
              <w:rPr>
                <w:rFonts w:hint="eastAsia"/>
                <w:color w:val="auto"/>
                <w:sz w:val="21"/>
                <w:szCs w:val="21"/>
              </w:rPr>
              <w:t>加强建筑垃圾的回收再利用，力争建筑垃圾的再利用和回收率达到30%，建筑物拆除产生的废弃物的再利用和回收率大于40%。</w:t>
            </w:r>
          </w:p>
        </w:tc>
      </w:tr>
      <w:tr w14:paraId="046D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D6A780C">
            <w:pPr>
              <w:pStyle w:val="6"/>
              <w:spacing w:after="0" w:line="240" w:lineRule="auto"/>
              <w:ind w:firstLine="0" w:firstLineChars="0"/>
              <w:jc w:val="center"/>
              <w:rPr>
                <w:rFonts w:hint="eastAsia"/>
                <w:color w:val="auto"/>
                <w:sz w:val="21"/>
                <w:szCs w:val="21"/>
              </w:rPr>
            </w:pPr>
            <w:r>
              <w:rPr>
                <w:rFonts w:hint="eastAsia"/>
                <w:color w:val="auto"/>
                <w:sz w:val="21"/>
                <w:szCs w:val="21"/>
              </w:rPr>
              <w:t>2</w:t>
            </w:r>
          </w:p>
        </w:tc>
        <w:tc>
          <w:tcPr>
            <w:tcW w:w="4551" w:type="pct"/>
            <w:tcBorders>
              <w:top w:val="single" w:color="auto" w:sz="4" w:space="0"/>
              <w:left w:val="nil"/>
              <w:bottom w:val="single" w:color="auto" w:sz="4" w:space="0"/>
              <w:right w:val="single" w:color="auto" w:sz="4" w:space="0"/>
            </w:tcBorders>
            <w:noWrap w:val="0"/>
            <w:vAlign w:val="center"/>
          </w:tcPr>
          <w:p w14:paraId="4DCCD858">
            <w:pPr>
              <w:pStyle w:val="6"/>
              <w:spacing w:after="0" w:line="240" w:lineRule="auto"/>
              <w:ind w:firstLine="420"/>
              <w:rPr>
                <w:rFonts w:hint="eastAsia"/>
                <w:color w:val="auto"/>
                <w:sz w:val="21"/>
                <w:szCs w:val="21"/>
              </w:rPr>
            </w:pPr>
            <w:r>
              <w:rPr>
                <w:rFonts w:hint="eastAsia"/>
                <w:color w:val="auto"/>
                <w:sz w:val="21"/>
                <w:szCs w:val="21"/>
              </w:rPr>
              <w:t>在施工现场设立分类垃圾回收池，如钢筋废料池、模板木枋废料池等，对无法回收利用的垃圾第一时间清理干净，请专门场外清洁公司负责清理外运。</w:t>
            </w:r>
          </w:p>
        </w:tc>
      </w:tr>
      <w:tr w14:paraId="44AC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AF69C00">
            <w:pPr>
              <w:pStyle w:val="6"/>
              <w:spacing w:after="0" w:line="240" w:lineRule="auto"/>
              <w:ind w:firstLine="0" w:firstLineChars="0"/>
              <w:jc w:val="center"/>
              <w:rPr>
                <w:rFonts w:hint="eastAsia"/>
                <w:color w:val="auto"/>
                <w:sz w:val="21"/>
                <w:szCs w:val="21"/>
              </w:rPr>
            </w:pPr>
            <w:r>
              <w:rPr>
                <w:rFonts w:hint="eastAsia"/>
                <w:color w:val="auto"/>
                <w:sz w:val="21"/>
                <w:szCs w:val="21"/>
              </w:rPr>
              <w:t>3</w:t>
            </w:r>
          </w:p>
        </w:tc>
        <w:tc>
          <w:tcPr>
            <w:tcW w:w="4551" w:type="pct"/>
            <w:tcBorders>
              <w:top w:val="single" w:color="auto" w:sz="4" w:space="0"/>
              <w:left w:val="nil"/>
              <w:bottom w:val="single" w:color="auto" w:sz="4" w:space="0"/>
              <w:right w:val="single" w:color="auto" w:sz="4" w:space="0"/>
            </w:tcBorders>
            <w:noWrap w:val="0"/>
            <w:vAlign w:val="center"/>
          </w:tcPr>
          <w:p w14:paraId="4F7DCB1C">
            <w:pPr>
              <w:pStyle w:val="6"/>
              <w:spacing w:after="0" w:line="240" w:lineRule="auto"/>
              <w:ind w:firstLine="420"/>
              <w:rPr>
                <w:rFonts w:hint="eastAsia"/>
                <w:color w:val="auto"/>
                <w:sz w:val="21"/>
                <w:szCs w:val="21"/>
              </w:rPr>
            </w:pPr>
            <w:r>
              <w:rPr>
                <w:rFonts w:hint="eastAsia"/>
                <w:color w:val="auto"/>
                <w:sz w:val="21"/>
                <w:szCs w:val="21"/>
              </w:rPr>
              <w:t>施工中减少施工固体废弃物的产生，工程结束后，对施工中产生的固体废弃物全部清除。</w:t>
            </w:r>
          </w:p>
        </w:tc>
      </w:tr>
      <w:tr w14:paraId="5476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F484664">
            <w:pPr>
              <w:pStyle w:val="6"/>
              <w:spacing w:after="0" w:line="240" w:lineRule="auto"/>
              <w:ind w:firstLine="0" w:firstLineChars="0"/>
              <w:jc w:val="center"/>
              <w:rPr>
                <w:rFonts w:hint="eastAsia"/>
                <w:color w:val="auto"/>
                <w:sz w:val="21"/>
                <w:szCs w:val="21"/>
              </w:rPr>
            </w:pPr>
            <w:r>
              <w:rPr>
                <w:rFonts w:hint="eastAsia"/>
                <w:color w:val="auto"/>
                <w:sz w:val="21"/>
                <w:szCs w:val="21"/>
              </w:rPr>
              <w:t>4</w:t>
            </w:r>
          </w:p>
        </w:tc>
        <w:tc>
          <w:tcPr>
            <w:tcW w:w="4551" w:type="pct"/>
            <w:tcBorders>
              <w:top w:val="single" w:color="auto" w:sz="4" w:space="0"/>
              <w:left w:val="nil"/>
              <w:bottom w:val="single" w:color="auto" w:sz="4" w:space="0"/>
              <w:right w:val="single" w:color="auto" w:sz="4" w:space="0"/>
            </w:tcBorders>
            <w:noWrap w:val="0"/>
            <w:vAlign w:val="center"/>
          </w:tcPr>
          <w:p w14:paraId="0AD99C05">
            <w:pPr>
              <w:pStyle w:val="6"/>
              <w:spacing w:after="0" w:line="240" w:lineRule="auto"/>
              <w:ind w:firstLine="420"/>
              <w:rPr>
                <w:rFonts w:hint="eastAsia"/>
                <w:color w:val="auto"/>
                <w:sz w:val="21"/>
                <w:szCs w:val="21"/>
              </w:rPr>
            </w:pPr>
            <w:r>
              <w:rPr>
                <w:rFonts w:hint="eastAsia"/>
                <w:color w:val="auto"/>
                <w:sz w:val="21"/>
                <w:szCs w:val="21"/>
              </w:rPr>
              <w:t>施工现场设置封闭式垃圾站，施工垃圾、生活垃圾分类存放，并按规定及时清运。尤其针对现场工人使用的塑料包装袋、塑料饭盒等集中回收，及时清理。</w:t>
            </w:r>
          </w:p>
        </w:tc>
      </w:tr>
      <w:tr w14:paraId="6D41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9E9267D">
            <w:pPr>
              <w:pStyle w:val="6"/>
              <w:spacing w:after="0" w:line="240" w:lineRule="auto"/>
              <w:ind w:firstLine="0" w:firstLineChars="0"/>
              <w:jc w:val="center"/>
              <w:rPr>
                <w:rFonts w:hint="eastAsia"/>
                <w:color w:val="auto"/>
                <w:sz w:val="21"/>
                <w:szCs w:val="21"/>
              </w:rPr>
            </w:pPr>
            <w:r>
              <w:rPr>
                <w:rFonts w:hint="eastAsia"/>
                <w:color w:val="auto"/>
                <w:sz w:val="21"/>
                <w:szCs w:val="21"/>
              </w:rPr>
              <w:t>5</w:t>
            </w:r>
          </w:p>
        </w:tc>
        <w:tc>
          <w:tcPr>
            <w:tcW w:w="4551" w:type="pct"/>
            <w:tcBorders>
              <w:top w:val="single" w:color="auto" w:sz="4" w:space="0"/>
              <w:left w:val="nil"/>
              <w:bottom w:val="single" w:color="auto" w:sz="4" w:space="0"/>
              <w:right w:val="single" w:color="auto" w:sz="4" w:space="0"/>
            </w:tcBorders>
            <w:noWrap w:val="0"/>
            <w:vAlign w:val="center"/>
          </w:tcPr>
          <w:p w14:paraId="39479D79">
            <w:pPr>
              <w:pStyle w:val="6"/>
              <w:spacing w:after="0" w:line="240" w:lineRule="auto"/>
              <w:ind w:firstLine="420"/>
              <w:rPr>
                <w:rFonts w:hint="eastAsia"/>
                <w:color w:val="auto"/>
                <w:sz w:val="21"/>
                <w:szCs w:val="21"/>
              </w:rPr>
            </w:pPr>
            <w:r>
              <w:rPr>
                <w:rFonts w:hint="eastAsia"/>
                <w:color w:val="auto"/>
                <w:sz w:val="21"/>
                <w:szCs w:val="21"/>
              </w:rPr>
              <w:t>建筑垃圾清运应采用可卸式密封垃圾车，确保运输工程无遗撒。</w:t>
            </w:r>
          </w:p>
        </w:tc>
      </w:tr>
    </w:tbl>
    <w:p w14:paraId="5AD3AF8C">
      <w:pPr>
        <w:pStyle w:val="4"/>
        <w:rPr>
          <w:rFonts w:hint="eastAsia"/>
          <w:color w:val="auto"/>
        </w:rPr>
      </w:pPr>
      <w:bookmarkStart w:id="68" w:name="_Toc202510567"/>
      <w:bookmarkEnd w:id="68"/>
      <w:bookmarkStart w:id="69" w:name="_Toc22483"/>
      <w:r>
        <w:rPr>
          <w:rFonts w:hint="eastAsia"/>
          <w:color w:val="auto"/>
        </w:rPr>
        <w:t>节材与材料资源利用</w:t>
      </w:r>
      <w:bookmarkEnd w:id="69"/>
    </w:p>
    <w:p w14:paraId="6E2B2637">
      <w:pPr>
        <w:pStyle w:val="7"/>
        <w:ind w:firstLine="0"/>
        <w:rPr>
          <w:rFonts w:hint="default" w:eastAsia="宋体"/>
          <w:color w:val="auto"/>
          <w:lang w:val="en-US" w:eastAsia="zh-CN"/>
        </w:rPr>
      </w:pPr>
      <w:bookmarkStart w:id="70" w:name="_Toc7612"/>
      <w:r>
        <w:rPr>
          <w:rFonts w:hint="eastAsia"/>
          <w:color w:val="auto"/>
          <w:lang w:val="en-US" w:eastAsia="zh-CN"/>
        </w:rPr>
        <w:t>节材与材料资源利用保证措施</w:t>
      </w:r>
      <w:bookmarkEnd w:id="70"/>
    </w:p>
    <w:p w14:paraId="0970E826">
      <w:pPr>
        <w:rPr>
          <w:rFonts w:hint="eastAsia"/>
          <w:color w:val="auto"/>
        </w:rPr>
      </w:pPr>
      <w:r>
        <w:rPr>
          <w:rFonts w:hint="eastAsia"/>
          <w:color w:val="auto"/>
        </w:rPr>
        <w:t>1、制度与指标</w:t>
      </w:r>
    </w:p>
    <w:p w14:paraId="7D6AD844">
      <w:pPr>
        <w:rPr>
          <w:rFonts w:hint="eastAsia"/>
          <w:color w:val="auto"/>
        </w:rPr>
      </w:pPr>
      <w:r>
        <w:rPr>
          <w:rFonts w:hint="eastAsia"/>
          <w:color w:val="auto"/>
        </w:rPr>
        <w:t>项目进场后，根据要求制定《机械使用、检查、维修及保养制度》、《限额领料管理制度》、《废旧物资管理制度》等制度文件，明确相应指标。</w:t>
      </w:r>
    </w:p>
    <w:p w14:paraId="6C9DFDCE">
      <w:pPr>
        <w:rPr>
          <w:rFonts w:hint="eastAsia"/>
          <w:color w:val="auto"/>
        </w:rPr>
      </w:pPr>
      <w:r>
        <w:rPr>
          <w:rFonts w:hint="eastAsia"/>
          <w:color w:val="auto"/>
        </w:rPr>
        <w:t>（1）分包队伍进场后，在与其签订的合同中明确相应节材指标。</w:t>
      </w:r>
    </w:p>
    <w:p w14:paraId="2A9C78A8">
      <w:pPr>
        <w:rPr>
          <w:rFonts w:hint="eastAsia"/>
          <w:color w:val="auto"/>
        </w:rPr>
      </w:pPr>
      <w:r>
        <w:rPr>
          <w:rFonts w:hint="eastAsia"/>
          <w:color w:val="auto"/>
        </w:rPr>
        <w:t>（2）本工程使用的大宗材料，全部实行公司集中采购。公司物资部每年根据各材料供应商在各项目部的考核结果，对其进行综合考评，建立合格供应商花名册，与质量稳定、服务好的供应商建立长期的合作协议。</w:t>
      </w:r>
    </w:p>
    <w:p w14:paraId="72ADD680">
      <w:pPr>
        <w:rPr>
          <w:rFonts w:hint="eastAsia"/>
          <w:color w:val="auto"/>
        </w:rPr>
      </w:pPr>
      <w:r>
        <w:rPr>
          <w:rFonts w:hint="eastAsia"/>
          <w:color w:val="auto"/>
        </w:rPr>
        <w:t>（3）项目物资计划提报及时、规范、准确，根据项目施工生产进度及时更新，通过总计划、月度计划和日常计划等，层层分解，对材料的进场量进行严格控制。</w:t>
      </w:r>
    </w:p>
    <w:p w14:paraId="2F010832">
      <w:pPr>
        <w:rPr>
          <w:rFonts w:hint="eastAsia"/>
          <w:color w:val="auto"/>
        </w:rPr>
      </w:pPr>
      <w:r>
        <w:rPr>
          <w:rFonts w:hint="eastAsia"/>
          <w:color w:val="auto"/>
        </w:rPr>
        <w:t>（4）各类物资均建立电子台帐，每日及时登录，对物资的流向及使用做全称的监控。</w:t>
      </w:r>
    </w:p>
    <w:p w14:paraId="1AD29ABB">
      <w:pPr>
        <w:rPr>
          <w:rFonts w:hint="eastAsia"/>
          <w:color w:val="auto"/>
        </w:rPr>
      </w:pPr>
      <w:r>
        <w:rPr>
          <w:rFonts w:hint="eastAsia"/>
          <w:color w:val="auto"/>
        </w:rPr>
        <w:t>（5）现场各种材料均实行限额领料制度，物资进场后，相关专业工长根据计划需求量和现场需用量签领料单领取物资。</w:t>
      </w:r>
    </w:p>
    <w:p w14:paraId="639509ED">
      <w:pPr>
        <w:rPr>
          <w:rFonts w:hint="eastAsia"/>
          <w:color w:val="auto"/>
        </w:rPr>
      </w:pPr>
      <w:r>
        <w:rPr>
          <w:rFonts w:hint="eastAsia"/>
          <w:color w:val="auto"/>
        </w:rPr>
        <w:t>2、控制项</w:t>
      </w:r>
    </w:p>
    <w:p w14:paraId="154FBD9E">
      <w:pPr>
        <w:rPr>
          <w:rFonts w:hint="eastAsia"/>
          <w:color w:val="auto"/>
        </w:rPr>
      </w:pPr>
      <w:r>
        <w:rPr>
          <w:rFonts w:hint="eastAsia"/>
          <w:color w:val="auto"/>
        </w:rPr>
        <w:t>（1）应根据就地取材的原则进行材料选择并有实施记录。</w:t>
      </w:r>
    </w:p>
    <w:p w14:paraId="29FA4DA0">
      <w:pPr>
        <w:rPr>
          <w:rFonts w:hint="eastAsia"/>
          <w:color w:val="auto"/>
        </w:rPr>
      </w:pPr>
      <w:r>
        <w:rPr>
          <w:rFonts w:hint="eastAsia"/>
          <w:color w:val="auto"/>
        </w:rPr>
        <w:t>①尽量就地取材，选择</w:t>
      </w:r>
      <w:r>
        <w:rPr>
          <w:rFonts w:hint="eastAsia"/>
          <w:color w:val="auto"/>
          <w:lang w:eastAsia="zh-CN"/>
        </w:rPr>
        <w:t>三亚</w:t>
      </w:r>
      <w:r>
        <w:rPr>
          <w:rFonts w:hint="eastAsia"/>
          <w:color w:val="auto"/>
        </w:rPr>
        <w:t>周边的供应商，我司在</w:t>
      </w:r>
      <w:r>
        <w:rPr>
          <w:rFonts w:hint="eastAsia"/>
          <w:color w:val="auto"/>
          <w:lang w:eastAsia="zh-CN"/>
        </w:rPr>
        <w:t>三亚</w:t>
      </w:r>
      <w:r>
        <w:rPr>
          <w:rFonts w:hint="eastAsia"/>
          <w:color w:val="auto"/>
        </w:rPr>
        <w:t>地区拥有多家优秀钢材、模板、混凝土等材料供应商。</w:t>
      </w:r>
    </w:p>
    <w:p w14:paraId="72140B98">
      <w:pPr>
        <w:rPr>
          <w:rFonts w:hint="eastAsia"/>
          <w:color w:val="auto"/>
        </w:rPr>
      </w:pPr>
      <w:r>
        <w:rPr>
          <w:rFonts w:hint="eastAsia"/>
          <w:color w:val="auto"/>
        </w:rPr>
        <w:t>②确保施工现场500公里以内生产的建筑材料用量占建筑材料总重量的75%以上，施工现场800公里以内生产的建筑材料用量占建筑材料总重量的100%；（项目使用主要材料的产地等资料）。</w:t>
      </w:r>
    </w:p>
    <w:p w14:paraId="6BA56D8C">
      <w:pPr>
        <w:rPr>
          <w:rFonts w:hint="eastAsia"/>
          <w:color w:val="auto"/>
        </w:rPr>
      </w:pPr>
      <w:r>
        <w:rPr>
          <w:rFonts w:hint="eastAsia"/>
          <w:color w:val="auto"/>
        </w:rPr>
        <w:t>③做好分包材料的选择，控制确保满足要求，做到就近取材。</w:t>
      </w:r>
    </w:p>
    <w:p w14:paraId="0753A194">
      <w:pPr>
        <w:rPr>
          <w:rFonts w:hint="eastAsia"/>
          <w:color w:val="auto"/>
        </w:rPr>
      </w:pPr>
      <w:r>
        <w:rPr>
          <w:rFonts w:hint="eastAsia"/>
          <w:color w:val="auto"/>
        </w:rPr>
        <w:t>（2）应有健全的机械保养、限额领料、建筑垃圾再生利用等制度。</w:t>
      </w:r>
    </w:p>
    <w:p w14:paraId="56BE0377">
      <w:pPr>
        <w:rPr>
          <w:rFonts w:hint="eastAsia"/>
          <w:color w:val="auto"/>
        </w:rPr>
      </w:pPr>
      <w:r>
        <w:rPr>
          <w:rFonts w:hint="eastAsia"/>
          <w:color w:val="auto"/>
        </w:rPr>
        <w:t>①制定相应的机械保养、限额领料、建筑垃圾再生利用制度，经业主、建立、专业咨询机构审批，并派专人负责。</w:t>
      </w:r>
    </w:p>
    <w:p w14:paraId="5562FA30">
      <w:pPr>
        <w:rPr>
          <w:rFonts w:hint="eastAsia"/>
          <w:color w:val="auto"/>
        </w:rPr>
      </w:pPr>
      <w:r>
        <w:rPr>
          <w:rFonts w:hint="eastAsia"/>
          <w:color w:val="auto"/>
        </w:rPr>
        <w:t>②做好机械保养、限额领料、建筑垃圾再生利用的监督及记录，并及时上报监理、业主及专业咨询机构。</w:t>
      </w:r>
    </w:p>
    <w:p w14:paraId="55D2EA32">
      <w:pPr>
        <w:rPr>
          <w:rFonts w:hint="eastAsia"/>
          <w:color w:val="auto"/>
        </w:rPr>
      </w:pPr>
      <w:r>
        <w:rPr>
          <w:rFonts w:hint="eastAsia"/>
          <w:color w:val="auto"/>
        </w:rPr>
        <w:t>3、一般项</w:t>
      </w:r>
    </w:p>
    <w:p w14:paraId="41CB879E">
      <w:pPr>
        <w:rPr>
          <w:rFonts w:hint="eastAsia"/>
          <w:color w:val="auto"/>
        </w:rPr>
      </w:pPr>
      <w:r>
        <w:rPr>
          <w:rFonts w:hint="eastAsia"/>
          <w:color w:val="auto"/>
        </w:rPr>
        <w:t>（1）材料选择应符合规定</w:t>
      </w:r>
    </w:p>
    <w:p w14:paraId="5D3AD3A2">
      <w:pPr>
        <w:rPr>
          <w:rFonts w:hint="eastAsia"/>
          <w:color w:val="auto"/>
        </w:rPr>
      </w:pPr>
      <w:r>
        <w:rPr>
          <w:rFonts w:hint="eastAsia"/>
          <w:color w:val="auto"/>
        </w:rPr>
        <w:t>①施工应选择绿色、环保材料</w:t>
      </w:r>
    </w:p>
    <w:p w14:paraId="208223D2">
      <w:pPr>
        <w:rPr>
          <w:rFonts w:hint="eastAsia"/>
          <w:color w:val="auto"/>
        </w:rPr>
      </w:pPr>
      <w:r>
        <w:rPr>
          <w:rFonts w:hint="eastAsia"/>
          <w:color w:val="auto"/>
        </w:rPr>
        <w:t>a严格按照图纸进行施工，当图纸设计与绿色建筑相关指标冲突时及时向设计及业主进行反馈。</w:t>
      </w:r>
    </w:p>
    <w:p w14:paraId="35FCBB2E">
      <w:pPr>
        <w:rPr>
          <w:rFonts w:hint="eastAsia"/>
          <w:color w:val="auto"/>
        </w:rPr>
      </w:pPr>
      <w:r>
        <w:rPr>
          <w:rFonts w:hint="eastAsia"/>
          <w:color w:val="auto"/>
        </w:rPr>
        <w:t>b建立合格的供应商档案库，材料考察做到质量优良、价格合理。</w:t>
      </w:r>
    </w:p>
    <w:p w14:paraId="56CFFD38">
      <w:pPr>
        <w:rPr>
          <w:rFonts w:hint="eastAsia"/>
          <w:color w:val="auto"/>
        </w:rPr>
      </w:pPr>
      <w:r>
        <w:rPr>
          <w:rFonts w:hint="eastAsia"/>
          <w:color w:val="auto"/>
        </w:rPr>
        <w:t>c对分包材料进行严格控制，材料进场必须提供合格有效的检验检测材料，确保满足绿色、环保要求。</w:t>
      </w:r>
    </w:p>
    <w:p w14:paraId="138DF579">
      <w:pPr>
        <w:rPr>
          <w:rFonts w:hint="eastAsia"/>
          <w:color w:val="auto"/>
        </w:rPr>
      </w:pPr>
      <w:r>
        <w:rPr>
          <w:rFonts w:hint="eastAsia"/>
          <w:color w:val="auto"/>
        </w:rPr>
        <w:t>②临建设施应采用可拆迁、可回收材料</w:t>
      </w:r>
    </w:p>
    <w:p w14:paraId="62BD5CD2">
      <w:pPr>
        <w:rPr>
          <w:rFonts w:hint="eastAsia"/>
          <w:color w:val="auto"/>
        </w:rPr>
      </w:pPr>
      <w:r>
        <w:rPr>
          <w:rFonts w:hint="eastAsia"/>
          <w:color w:val="auto"/>
        </w:rPr>
        <w:t>a临建设施采用轻质、高强、保温隔热、美观耐用的彩钢板活动板房，或采用移动式集装箱。本工程管理人员宿舍及办公室采用移动式集装箱，工人宿舍采用彩钢活动板房。</w:t>
      </w:r>
    </w:p>
    <w:p w14:paraId="4D481602">
      <w:pPr>
        <w:rPr>
          <w:rFonts w:hint="eastAsia"/>
          <w:color w:val="auto"/>
        </w:rPr>
      </w:pPr>
      <w:r>
        <w:rPr>
          <w:rFonts w:hint="eastAsia"/>
          <w:color w:val="auto"/>
        </w:rPr>
        <w:t>b在彩钢活动板房和移动式集装箱有效期为10~15年，有效使用期内，进行合理周转。</w:t>
      </w:r>
    </w:p>
    <w:p w14:paraId="7B9614A0">
      <w:pPr>
        <w:rPr>
          <w:rFonts w:hint="eastAsia"/>
          <w:color w:val="auto"/>
        </w:rPr>
      </w:pPr>
      <w:r>
        <w:rPr>
          <w:rFonts w:hint="eastAsia"/>
          <w:color w:val="auto"/>
        </w:rPr>
        <w:t>c部分现场行车道采用装配式道路。</w:t>
      </w:r>
    </w:p>
    <w:p w14:paraId="7C7D87E2">
      <w:pPr>
        <w:rPr>
          <w:rFonts w:hint="eastAsia"/>
          <w:color w:val="auto"/>
        </w:rPr>
      </w:pPr>
      <w:r>
        <w:rPr>
          <w:rFonts w:hint="eastAsia"/>
          <w:color w:val="auto"/>
        </w:rPr>
        <w:t>③应利用粉煤灰、矿渣、外加剂等新材料降低混凝土和砂浆中的水泥用量；粉煤灰、矿渣、外加剂等新材料掺量应按供货单位推荐掺量、使用要求、施工条件、原材料等因素通过实验确定。</w:t>
      </w:r>
    </w:p>
    <w:p w14:paraId="438FA638">
      <w:pPr>
        <w:rPr>
          <w:rFonts w:hint="eastAsia"/>
          <w:color w:val="auto"/>
        </w:rPr>
      </w:pPr>
      <w:r>
        <w:rPr>
          <w:rFonts w:hint="eastAsia"/>
          <w:color w:val="auto"/>
        </w:rPr>
        <w:t>a与商品混凝土搅拌站及实验室进行协调，合理利用粉煤灰、矿渣、外加剂等。</w:t>
      </w:r>
    </w:p>
    <w:p w14:paraId="15F90DDF">
      <w:pPr>
        <w:rPr>
          <w:rFonts w:hint="eastAsia"/>
          <w:color w:val="auto"/>
        </w:rPr>
      </w:pPr>
      <w:r>
        <w:rPr>
          <w:rFonts w:hint="eastAsia"/>
          <w:color w:val="auto"/>
        </w:rPr>
        <w:t>b根据</w:t>
      </w:r>
      <w:r>
        <w:rPr>
          <w:rFonts w:hint="eastAsia"/>
          <w:color w:val="auto"/>
          <w:lang w:eastAsia="zh-CN"/>
        </w:rPr>
        <w:t>三亚</w:t>
      </w:r>
      <w:r>
        <w:rPr>
          <w:rFonts w:hint="eastAsia"/>
          <w:color w:val="auto"/>
        </w:rPr>
        <w:t>市相关文件要求，现场全部使用商品砂浆。</w:t>
      </w:r>
    </w:p>
    <w:p w14:paraId="5BBFEBA1">
      <w:pPr>
        <w:rPr>
          <w:rFonts w:hint="eastAsia"/>
          <w:color w:val="auto"/>
        </w:rPr>
      </w:pPr>
      <w:r>
        <w:rPr>
          <w:rFonts w:hint="eastAsia"/>
          <w:color w:val="auto"/>
        </w:rPr>
        <w:t>c做好商品混凝土及预拌砂浆的过程监控、材料进场记录，并定期上报专业咨询机构。</w:t>
      </w:r>
    </w:p>
    <w:p w14:paraId="01C524FC">
      <w:pPr>
        <w:rPr>
          <w:rFonts w:hint="eastAsia"/>
          <w:color w:val="auto"/>
        </w:rPr>
      </w:pPr>
      <w:r>
        <w:rPr>
          <w:rFonts w:hint="eastAsia"/>
          <w:color w:val="auto"/>
        </w:rPr>
        <w:t>（2）材料节约</w:t>
      </w:r>
    </w:p>
    <w:p w14:paraId="6B970934">
      <w:pPr>
        <w:rPr>
          <w:rFonts w:hint="eastAsia"/>
          <w:color w:val="auto"/>
        </w:rPr>
      </w:pPr>
      <w:r>
        <w:rPr>
          <w:rFonts w:hint="eastAsia"/>
          <w:color w:val="auto"/>
        </w:rPr>
        <w:t>①应采用管件合一的脚手架和支撑体系</w:t>
      </w:r>
    </w:p>
    <w:p w14:paraId="3B7453B0">
      <w:pPr>
        <w:rPr>
          <w:rFonts w:hint="eastAsia"/>
          <w:color w:val="auto"/>
        </w:rPr>
      </w:pPr>
      <w:r>
        <w:rPr>
          <w:rFonts w:hint="eastAsia"/>
          <w:color w:val="auto"/>
        </w:rPr>
        <w:t>a结构施工期间选用轮扣式脚手架支撑体系。</w:t>
      </w:r>
    </w:p>
    <w:p w14:paraId="221A7463">
      <w:pPr>
        <w:rPr>
          <w:rFonts w:hint="eastAsia"/>
          <w:color w:val="auto"/>
        </w:rPr>
      </w:pPr>
      <w:r>
        <w:rPr>
          <w:rFonts w:hint="eastAsia"/>
          <w:color w:val="auto"/>
        </w:rPr>
        <w:t>b装饰装修施工阶段采用移动脚手架。</w:t>
      </w:r>
    </w:p>
    <w:p w14:paraId="7149A07D">
      <w:pPr>
        <w:rPr>
          <w:rFonts w:hint="eastAsia"/>
          <w:color w:val="auto"/>
        </w:rPr>
      </w:pPr>
      <w:r>
        <w:rPr>
          <w:rFonts w:hint="eastAsia"/>
          <w:color w:val="auto"/>
        </w:rPr>
        <w:t>②应采用工具式模板和其他可再生材质模板</w:t>
      </w:r>
    </w:p>
    <w:p w14:paraId="084F7B7A">
      <w:pPr>
        <w:rPr>
          <w:rFonts w:hint="eastAsia"/>
          <w:color w:val="auto"/>
        </w:rPr>
      </w:pPr>
      <w:r>
        <w:rPr>
          <w:rFonts w:hint="eastAsia"/>
          <w:color w:val="auto"/>
        </w:rPr>
        <w:t>方柱采用定型木模</w:t>
      </w:r>
    </w:p>
    <w:p w14:paraId="7F5E6B75">
      <w:pPr>
        <w:rPr>
          <w:rFonts w:hint="eastAsia"/>
          <w:color w:val="auto"/>
        </w:rPr>
      </w:pPr>
      <w:r>
        <w:rPr>
          <w:rFonts w:hint="eastAsia"/>
          <w:color w:val="auto"/>
        </w:rPr>
        <w:t>③材料运输方法应科学，降低运输损耗率</w:t>
      </w:r>
    </w:p>
    <w:p w14:paraId="73FC1693">
      <w:pPr>
        <w:rPr>
          <w:rFonts w:hint="eastAsia"/>
          <w:color w:val="auto"/>
        </w:rPr>
      </w:pPr>
      <w:r>
        <w:rPr>
          <w:rFonts w:hint="eastAsia"/>
          <w:color w:val="auto"/>
        </w:rPr>
        <w:t>a根据现场施工进度，合理组织材料进场，避免材料积压；</w:t>
      </w:r>
    </w:p>
    <w:p w14:paraId="69D4DB82">
      <w:pPr>
        <w:rPr>
          <w:rFonts w:hint="eastAsia"/>
          <w:color w:val="auto"/>
        </w:rPr>
      </w:pPr>
      <w:r>
        <w:rPr>
          <w:rFonts w:hint="eastAsia"/>
          <w:color w:val="auto"/>
        </w:rPr>
        <w:t>b选择合适的材料运输工具、装卸方式，防止损坏和遗洒。根据现场平面布置就近卸载，避免和减少二次搬运；</w:t>
      </w:r>
    </w:p>
    <w:p w14:paraId="4FD0487D">
      <w:pPr>
        <w:rPr>
          <w:rFonts w:hint="eastAsia"/>
          <w:color w:val="auto"/>
        </w:rPr>
      </w:pPr>
      <w:r>
        <w:rPr>
          <w:rFonts w:hint="eastAsia"/>
          <w:color w:val="auto"/>
        </w:rPr>
        <w:t>c现场施工期间，木枋及模板利用塔吊进行调运、混凝土利用输送泵进行泵送，装饰装修阶段使用的材料进行装箱、装袋，避免损坏。</w:t>
      </w:r>
    </w:p>
    <w:p w14:paraId="45CB1114">
      <w:pPr>
        <w:rPr>
          <w:rFonts w:hint="eastAsia"/>
          <w:color w:val="auto"/>
        </w:rPr>
      </w:pPr>
      <w:r>
        <w:rPr>
          <w:rFonts w:hint="eastAsia"/>
          <w:color w:val="auto"/>
        </w:rPr>
        <w:t>④应优化线材下料方案</w:t>
      </w:r>
    </w:p>
    <w:p w14:paraId="0F2CDAC2">
      <w:pPr>
        <w:rPr>
          <w:rFonts w:hint="eastAsia"/>
          <w:color w:val="auto"/>
        </w:rPr>
      </w:pPr>
      <w:r>
        <w:rPr>
          <w:rFonts w:hint="eastAsia"/>
          <w:color w:val="auto"/>
        </w:rPr>
        <w:t>a制定详细的钢筋翻样、下料、管线配置方案，在加工过程中严格控制，避免浪费；</w:t>
      </w:r>
    </w:p>
    <w:p w14:paraId="5533CBF1">
      <w:pPr>
        <w:rPr>
          <w:rFonts w:hint="eastAsia"/>
          <w:color w:val="auto"/>
        </w:rPr>
      </w:pPr>
      <w:r>
        <w:rPr>
          <w:rFonts w:hint="eastAsia"/>
          <w:color w:val="auto"/>
        </w:rPr>
        <w:t>b根据结构形式，选用长度合理的对拉螺栓，做到可周转，重复利用；</w:t>
      </w:r>
    </w:p>
    <w:p w14:paraId="466A6AC7">
      <w:pPr>
        <w:rPr>
          <w:rFonts w:hint="eastAsia"/>
          <w:color w:val="auto"/>
        </w:rPr>
      </w:pPr>
      <w:r>
        <w:rPr>
          <w:rFonts w:hint="eastAsia"/>
          <w:color w:val="auto"/>
        </w:rPr>
        <w:t>c对于大直径钢筋采用直螺纹套筒连接，减少搭接量；</w:t>
      </w:r>
    </w:p>
    <w:p w14:paraId="57E69207">
      <w:pPr>
        <w:rPr>
          <w:rFonts w:hint="eastAsia"/>
          <w:color w:val="auto"/>
        </w:rPr>
      </w:pPr>
      <w:r>
        <w:rPr>
          <w:rFonts w:hint="eastAsia"/>
          <w:color w:val="auto"/>
        </w:rPr>
        <w:t>d采用专业化、工厂化加工，加工制作前对下料单及样品进行复核。</w:t>
      </w:r>
    </w:p>
    <w:p w14:paraId="2CCF1E29">
      <w:pPr>
        <w:rPr>
          <w:rFonts w:hint="eastAsia"/>
          <w:color w:val="auto"/>
        </w:rPr>
      </w:pPr>
      <w:r>
        <w:rPr>
          <w:rFonts w:hint="eastAsia"/>
          <w:color w:val="auto"/>
        </w:rPr>
        <w:t>⑤面材、块材镶贴，应先做到预先排版</w:t>
      </w:r>
    </w:p>
    <w:p w14:paraId="26A028B3">
      <w:pPr>
        <w:rPr>
          <w:rFonts w:hint="eastAsia"/>
          <w:color w:val="auto"/>
        </w:rPr>
      </w:pPr>
      <w:r>
        <w:rPr>
          <w:rFonts w:hint="eastAsia"/>
          <w:color w:val="auto"/>
        </w:rPr>
        <w:t>施工前，对砌体、贴面材料进行排版，减少整块快块材的切割，提高施工质量，减少材料损耗量。</w:t>
      </w:r>
    </w:p>
    <w:p w14:paraId="07457116">
      <w:pPr>
        <w:rPr>
          <w:rFonts w:hint="eastAsia"/>
          <w:color w:val="auto"/>
        </w:rPr>
      </w:pPr>
      <w:r>
        <w:rPr>
          <w:rFonts w:hint="eastAsia"/>
          <w:color w:val="auto"/>
        </w:rPr>
        <w:t>⑥应因地制宜，采用新技术、新工艺、新设备、新材料</w:t>
      </w:r>
    </w:p>
    <w:p w14:paraId="248E7632">
      <w:pPr>
        <w:rPr>
          <w:rFonts w:hint="eastAsia"/>
          <w:color w:val="auto"/>
        </w:rPr>
      </w:pPr>
      <w:r>
        <w:rPr>
          <w:rFonts w:hint="eastAsia"/>
          <w:color w:val="auto"/>
        </w:rPr>
        <w:t>a采用新型模板体系，减少木材的应用。</w:t>
      </w:r>
    </w:p>
    <w:p w14:paraId="6902C614">
      <w:pPr>
        <w:rPr>
          <w:rFonts w:hint="eastAsia"/>
          <w:color w:val="auto"/>
        </w:rPr>
      </w:pPr>
      <w:r>
        <w:rPr>
          <w:rFonts w:hint="eastAsia"/>
          <w:color w:val="auto"/>
        </w:rPr>
        <w:t>b采用高性能混凝土，高强钢材。</w:t>
      </w:r>
    </w:p>
    <w:p w14:paraId="4BB68156">
      <w:pPr>
        <w:rPr>
          <w:rFonts w:hint="eastAsia"/>
          <w:color w:val="auto"/>
        </w:rPr>
      </w:pPr>
      <w:r>
        <w:rPr>
          <w:rFonts w:hint="eastAsia"/>
          <w:color w:val="auto"/>
        </w:rPr>
        <w:t>c采用新型墙体材料，施工便捷、节省能源。</w:t>
      </w:r>
    </w:p>
    <w:p w14:paraId="2170D644">
      <w:pPr>
        <w:rPr>
          <w:rFonts w:hint="eastAsia"/>
          <w:color w:val="auto"/>
        </w:rPr>
      </w:pPr>
      <w:r>
        <w:rPr>
          <w:rFonts w:hint="eastAsia"/>
          <w:color w:val="auto"/>
        </w:rPr>
        <w:t>d信息化技术的应用。</w:t>
      </w:r>
    </w:p>
    <w:p w14:paraId="69C00CBF">
      <w:pPr>
        <w:rPr>
          <w:rFonts w:hint="eastAsia"/>
          <w:color w:val="auto"/>
        </w:rPr>
      </w:pPr>
      <w:r>
        <w:rPr>
          <w:rFonts w:hint="eastAsia"/>
          <w:color w:val="auto"/>
        </w:rPr>
        <w:t>⑦应提高模板、脚手架体系的周转率</w:t>
      </w:r>
    </w:p>
    <w:p w14:paraId="7F6564C2">
      <w:pPr>
        <w:rPr>
          <w:rFonts w:hint="eastAsia"/>
          <w:color w:val="auto"/>
        </w:rPr>
      </w:pPr>
      <w:r>
        <w:rPr>
          <w:rFonts w:hint="eastAsia"/>
          <w:color w:val="auto"/>
        </w:rPr>
        <w:t>a使用轮扣脚手架支撑体系。</w:t>
      </w:r>
    </w:p>
    <w:p w14:paraId="3DA16666">
      <w:pPr>
        <w:rPr>
          <w:rFonts w:hint="eastAsia"/>
          <w:color w:val="auto"/>
        </w:rPr>
      </w:pPr>
      <w:r>
        <w:rPr>
          <w:rFonts w:hint="eastAsia"/>
          <w:color w:val="auto"/>
        </w:rPr>
        <w:t>b竖向结构采用组合木模板，提高周转次数、减少重复配模。</w:t>
      </w:r>
    </w:p>
    <w:p w14:paraId="5D3EB5AA">
      <w:pPr>
        <w:rPr>
          <w:rFonts w:hint="eastAsia"/>
          <w:color w:val="auto"/>
        </w:rPr>
      </w:pPr>
      <w:r>
        <w:rPr>
          <w:rFonts w:hint="eastAsia"/>
          <w:color w:val="auto"/>
        </w:rPr>
        <w:t>c对于普通模板，根据不同结构及形体编制配模方案和流转图；对于脚手架体系，合理进行外架与楼层防护架间的流转。</w:t>
      </w:r>
    </w:p>
    <w:p w14:paraId="1E3A2737">
      <w:pPr>
        <w:rPr>
          <w:rFonts w:hint="eastAsia"/>
          <w:color w:val="auto"/>
        </w:rPr>
      </w:pPr>
      <w:r>
        <w:rPr>
          <w:rFonts w:hint="eastAsia"/>
          <w:color w:val="auto"/>
        </w:rPr>
        <w:t>（3）资源再生利用</w:t>
      </w:r>
    </w:p>
    <w:p w14:paraId="4780ACBE">
      <w:pPr>
        <w:rPr>
          <w:rFonts w:hint="eastAsia"/>
          <w:color w:val="auto"/>
        </w:rPr>
      </w:pPr>
      <w:r>
        <w:rPr>
          <w:rFonts w:hint="eastAsia"/>
          <w:color w:val="auto"/>
        </w:rPr>
        <w:t>①建筑余料应合理使用</w:t>
      </w:r>
    </w:p>
    <w:p w14:paraId="12CDD6B8">
      <w:pPr>
        <w:rPr>
          <w:rFonts w:hint="eastAsia"/>
          <w:color w:val="auto"/>
        </w:rPr>
      </w:pPr>
      <w:r>
        <w:rPr>
          <w:rFonts w:hint="eastAsia"/>
          <w:color w:val="auto"/>
        </w:rPr>
        <w:t>a利用钢筋余料制作养护保护笼、马镫、构造柱、及圈梁钢筋及措施钢筋。</w:t>
      </w:r>
    </w:p>
    <w:p w14:paraId="33FBFBE5">
      <w:pPr>
        <w:rPr>
          <w:rFonts w:hint="eastAsia"/>
          <w:color w:val="auto"/>
        </w:rPr>
      </w:pPr>
      <w:r>
        <w:rPr>
          <w:rFonts w:hint="eastAsia"/>
          <w:color w:val="auto"/>
        </w:rPr>
        <w:t>b长度超过1米大直径钢筋余料通过闪光对焊接长，用于施工。</w:t>
      </w:r>
    </w:p>
    <w:p w14:paraId="4D1502B7">
      <w:pPr>
        <w:rPr>
          <w:rFonts w:hint="eastAsia"/>
          <w:color w:val="auto"/>
        </w:rPr>
      </w:pPr>
      <w:r>
        <w:rPr>
          <w:rFonts w:hint="eastAsia"/>
          <w:color w:val="auto"/>
        </w:rPr>
        <w:t>②板材、块材等下脚料和洒落混凝土及砂浆应科学利用</w:t>
      </w:r>
    </w:p>
    <w:p w14:paraId="1EB6C06A">
      <w:pPr>
        <w:rPr>
          <w:rFonts w:hint="eastAsia"/>
          <w:color w:val="auto"/>
        </w:rPr>
      </w:pPr>
      <w:r>
        <w:rPr>
          <w:rFonts w:hint="eastAsia"/>
          <w:color w:val="auto"/>
        </w:rPr>
        <w:t>a模板下脚料用于洞口封堵，护角、脚手架垫块及踢脚板。</w:t>
      </w:r>
    </w:p>
    <w:p w14:paraId="5EFE9F60">
      <w:pPr>
        <w:rPr>
          <w:rFonts w:hint="eastAsia"/>
          <w:color w:val="auto"/>
        </w:rPr>
      </w:pPr>
      <w:r>
        <w:rPr>
          <w:rFonts w:hint="eastAsia"/>
          <w:color w:val="auto"/>
        </w:rPr>
        <w:t>b洒落的混凝土及砂浆用于制作固定门窗的预制构件、路基回填。</w:t>
      </w:r>
    </w:p>
    <w:p w14:paraId="30B11D53">
      <w:pPr>
        <w:rPr>
          <w:rFonts w:hint="eastAsia"/>
          <w:color w:val="auto"/>
        </w:rPr>
      </w:pPr>
      <w:r>
        <w:rPr>
          <w:rFonts w:hint="eastAsia"/>
          <w:color w:val="auto"/>
        </w:rPr>
        <w:t>c对短木枋接长。</w:t>
      </w:r>
    </w:p>
    <w:p w14:paraId="6294168F">
      <w:pPr>
        <w:rPr>
          <w:rFonts w:hint="eastAsia"/>
          <w:color w:val="auto"/>
        </w:rPr>
      </w:pPr>
      <w:r>
        <w:rPr>
          <w:rFonts w:hint="eastAsia"/>
          <w:color w:val="auto"/>
        </w:rPr>
        <w:t>③临建设施应充分利用市政设施和周边道路</w:t>
      </w:r>
    </w:p>
    <w:p w14:paraId="08C3A5C2">
      <w:pPr>
        <w:rPr>
          <w:rFonts w:hint="eastAsia"/>
          <w:color w:val="auto"/>
        </w:rPr>
      </w:pPr>
      <w:r>
        <w:rPr>
          <w:rFonts w:hint="eastAsia"/>
          <w:color w:val="auto"/>
        </w:rPr>
        <w:t>合理利用周边道路、雨水、污水、电力及网络等市政基础设施。</w:t>
      </w:r>
    </w:p>
    <w:p w14:paraId="37CBBD49">
      <w:pPr>
        <w:rPr>
          <w:rFonts w:hint="eastAsia"/>
          <w:color w:val="auto"/>
        </w:rPr>
      </w:pPr>
      <w:r>
        <w:rPr>
          <w:rFonts w:hint="eastAsia"/>
          <w:color w:val="auto"/>
        </w:rPr>
        <w:t>④现场办公用纸应分类摆放，纸张应两面使用，废纸应回收</w:t>
      </w:r>
    </w:p>
    <w:p w14:paraId="441BA38A">
      <w:pPr>
        <w:rPr>
          <w:rFonts w:hint="eastAsia"/>
          <w:color w:val="auto"/>
        </w:rPr>
      </w:pPr>
      <w:r>
        <w:rPr>
          <w:rFonts w:hint="eastAsia"/>
          <w:color w:val="auto"/>
        </w:rPr>
        <w:t>a有效区分打印纸及复印纸。</w:t>
      </w:r>
    </w:p>
    <w:p w14:paraId="7706DA12">
      <w:pPr>
        <w:rPr>
          <w:rFonts w:hint="eastAsia"/>
          <w:color w:val="auto"/>
        </w:rPr>
      </w:pPr>
      <w:r>
        <w:rPr>
          <w:rFonts w:hint="eastAsia"/>
          <w:color w:val="auto"/>
        </w:rPr>
        <w:t>b采用无纸化办公，一般资料采取双面打印。</w:t>
      </w:r>
    </w:p>
    <w:p w14:paraId="247BBCBE">
      <w:pPr>
        <w:rPr>
          <w:rFonts w:hint="eastAsia"/>
          <w:color w:val="auto"/>
        </w:rPr>
      </w:pPr>
      <w:r>
        <w:rPr>
          <w:rFonts w:hint="eastAsia"/>
          <w:color w:val="auto"/>
        </w:rPr>
        <w:t>c废纸进行回收。</w:t>
      </w:r>
    </w:p>
    <w:p w14:paraId="36718570">
      <w:pPr>
        <w:rPr>
          <w:rFonts w:hint="eastAsia"/>
          <w:color w:val="auto"/>
        </w:rPr>
      </w:pPr>
      <w:r>
        <w:rPr>
          <w:rFonts w:hint="eastAsia"/>
          <w:color w:val="auto"/>
        </w:rPr>
        <w:t>4)优选项</w:t>
      </w:r>
    </w:p>
    <w:p w14:paraId="394814FB">
      <w:pPr>
        <w:rPr>
          <w:rFonts w:hint="eastAsia"/>
          <w:color w:val="auto"/>
        </w:rPr>
      </w:pPr>
      <w:r>
        <w:rPr>
          <w:rFonts w:hint="eastAsia"/>
          <w:color w:val="auto"/>
        </w:rPr>
        <w:t>（1）应编制材料计划，应合理使用材料</w:t>
      </w:r>
    </w:p>
    <w:p w14:paraId="33F090FB">
      <w:pPr>
        <w:rPr>
          <w:rFonts w:hint="eastAsia"/>
          <w:color w:val="auto"/>
        </w:rPr>
      </w:pPr>
      <w:r>
        <w:rPr>
          <w:rFonts w:hint="eastAsia"/>
          <w:color w:val="auto"/>
        </w:rPr>
        <w:t>①编制项目材料计划、月度材料计划、每周材料计划。</w:t>
      </w:r>
    </w:p>
    <w:p w14:paraId="6660852C">
      <w:pPr>
        <w:rPr>
          <w:rFonts w:hint="eastAsia"/>
          <w:color w:val="auto"/>
        </w:rPr>
      </w:pPr>
      <w:r>
        <w:rPr>
          <w:rFonts w:hint="eastAsia"/>
          <w:color w:val="auto"/>
        </w:rPr>
        <w:t>②限额领料，监督材料的使用情况。</w:t>
      </w:r>
    </w:p>
    <w:p w14:paraId="7F477EDC">
      <w:pPr>
        <w:rPr>
          <w:rFonts w:hint="eastAsia"/>
          <w:color w:val="auto"/>
        </w:rPr>
      </w:pPr>
      <w:r>
        <w:rPr>
          <w:rFonts w:hint="eastAsia"/>
          <w:color w:val="auto"/>
        </w:rPr>
        <w:t>（2）应采用建筑配件整体化或建筑构件装配化安装的施工方法</w:t>
      </w:r>
    </w:p>
    <w:p w14:paraId="20FF8DF7">
      <w:pPr>
        <w:rPr>
          <w:rFonts w:hint="eastAsia"/>
          <w:color w:val="auto"/>
        </w:rPr>
      </w:pPr>
      <w:r>
        <w:rPr>
          <w:rFonts w:hint="eastAsia"/>
          <w:color w:val="auto"/>
        </w:rPr>
        <w:t>本工程主楼采用部分装配式混凝土结构。</w:t>
      </w:r>
    </w:p>
    <w:p w14:paraId="0780FC6A">
      <w:pPr>
        <w:rPr>
          <w:rFonts w:hint="eastAsia"/>
          <w:color w:val="auto"/>
        </w:rPr>
      </w:pPr>
      <w:r>
        <w:rPr>
          <w:rFonts w:hint="eastAsia"/>
          <w:color w:val="auto"/>
        </w:rPr>
        <w:t>（3）主体结构施工应选择自动提升、顶升模架或工作平台</w:t>
      </w:r>
    </w:p>
    <w:p w14:paraId="6EA01C7B">
      <w:pPr>
        <w:rPr>
          <w:rFonts w:hint="eastAsia"/>
          <w:color w:val="auto"/>
        </w:rPr>
      </w:pPr>
      <w:r>
        <w:rPr>
          <w:rFonts w:hint="eastAsia"/>
          <w:color w:val="auto"/>
        </w:rPr>
        <w:t>由于受工程本身限制，仅电梯井采用工具式操作平台。</w:t>
      </w:r>
    </w:p>
    <w:p w14:paraId="45C4F28C">
      <w:pPr>
        <w:rPr>
          <w:rFonts w:hint="eastAsia"/>
          <w:color w:val="auto"/>
        </w:rPr>
      </w:pPr>
      <w:r>
        <w:rPr>
          <w:rFonts w:hint="eastAsia"/>
          <w:color w:val="auto"/>
        </w:rPr>
        <w:t>（4）建筑材料包装物回收率应达100%</w:t>
      </w:r>
    </w:p>
    <w:p w14:paraId="751FED15">
      <w:pPr>
        <w:rPr>
          <w:rFonts w:hint="eastAsia"/>
          <w:color w:val="auto"/>
        </w:rPr>
      </w:pPr>
      <w:r>
        <w:rPr>
          <w:rFonts w:hint="eastAsia"/>
          <w:color w:val="auto"/>
        </w:rPr>
        <w:t>建筑材料包装分类回收，区分纸质、木质、塑料等100%回收。</w:t>
      </w:r>
    </w:p>
    <w:p w14:paraId="05A6458E">
      <w:pPr>
        <w:rPr>
          <w:rFonts w:hint="eastAsia"/>
          <w:color w:val="auto"/>
        </w:rPr>
      </w:pPr>
      <w:r>
        <w:rPr>
          <w:rFonts w:hint="eastAsia"/>
          <w:color w:val="auto"/>
        </w:rPr>
        <w:t>（5）现场应使用预拌砂浆</w:t>
      </w:r>
    </w:p>
    <w:p w14:paraId="50F0EF35">
      <w:pPr>
        <w:rPr>
          <w:rFonts w:hint="eastAsia"/>
          <w:color w:val="auto"/>
        </w:rPr>
      </w:pPr>
      <w:r>
        <w:rPr>
          <w:rFonts w:hint="eastAsia"/>
          <w:color w:val="auto"/>
        </w:rPr>
        <w:t>现场所有砌筑、抹灰、地面砂浆严格按照</w:t>
      </w:r>
      <w:r>
        <w:rPr>
          <w:rFonts w:hint="eastAsia"/>
          <w:color w:val="auto"/>
          <w:lang w:eastAsia="zh-CN"/>
        </w:rPr>
        <w:t>三亚</w:t>
      </w:r>
      <w:r>
        <w:rPr>
          <w:rFonts w:hint="eastAsia"/>
          <w:color w:val="auto"/>
        </w:rPr>
        <w:t>市要求100%采用散装预拌砂浆。</w:t>
      </w:r>
    </w:p>
    <w:p w14:paraId="62B60BF6">
      <w:pPr>
        <w:rPr>
          <w:rFonts w:hint="eastAsia"/>
          <w:color w:val="auto"/>
        </w:rPr>
      </w:pPr>
      <w:r>
        <w:rPr>
          <w:rFonts w:hint="eastAsia"/>
          <w:color w:val="auto"/>
        </w:rPr>
        <w:t>（6）现场临建设施、安全防护设施应定型化、工具化、标准化</w:t>
      </w:r>
    </w:p>
    <w:p w14:paraId="0F9EDF48">
      <w:pPr>
        <w:rPr>
          <w:rFonts w:hint="eastAsia"/>
          <w:color w:val="auto"/>
        </w:rPr>
      </w:pPr>
      <w:r>
        <w:rPr>
          <w:rFonts w:hint="eastAsia"/>
          <w:color w:val="auto"/>
        </w:rPr>
        <w:t>①采用装配式围挡、配电箱、卸料平台、安全通道。</w:t>
      </w:r>
    </w:p>
    <w:p w14:paraId="288EB5B6">
      <w:pPr>
        <w:rPr>
          <w:rFonts w:hint="eastAsia"/>
          <w:color w:val="auto"/>
        </w:rPr>
      </w:pPr>
      <w:r>
        <w:rPr>
          <w:rFonts w:hint="eastAsia"/>
          <w:color w:val="auto"/>
        </w:rPr>
        <w:t>②采用定型化基坑防护栏杆、楼层临边防护栏杆、电梯防护门、施工电梯防护门。</w:t>
      </w:r>
    </w:p>
    <w:p w14:paraId="4497C358">
      <w:pPr>
        <w:rPr>
          <w:rFonts w:hint="eastAsia"/>
          <w:color w:val="auto"/>
        </w:rPr>
      </w:pPr>
      <w:r>
        <w:rPr>
          <w:rFonts w:hint="eastAsia"/>
          <w:color w:val="auto"/>
        </w:rPr>
        <w:t>③采用成品钢筋加工棚。</w:t>
      </w:r>
    </w:p>
    <w:p w14:paraId="1C1613F6">
      <w:pPr>
        <w:pStyle w:val="7"/>
        <w:ind w:firstLine="0"/>
        <w:rPr>
          <w:rFonts w:hint="default" w:eastAsia="宋体" w:cs="Times New Roman"/>
          <w:color w:val="auto"/>
          <w:lang w:val="en-US" w:eastAsia="zh-CN"/>
        </w:rPr>
      </w:pPr>
      <w:bookmarkStart w:id="71" w:name="_Toc328"/>
      <w:r>
        <w:rPr>
          <w:rFonts w:hint="eastAsia" w:eastAsia="宋体" w:cs="Times New Roman"/>
          <w:color w:val="auto"/>
          <w:lang w:val="en-US" w:eastAsia="zh-CN"/>
        </w:rPr>
        <w:t>施工材料节约措施</w:t>
      </w:r>
      <w:bookmarkEnd w:id="71"/>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4099"/>
        <w:gridCol w:w="4353"/>
      </w:tblGrid>
      <w:tr w14:paraId="669A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9" w:type="pct"/>
            <w:tcBorders>
              <w:top w:val="single" w:color="auto" w:sz="4" w:space="0"/>
              <w:left w:val="single" w:color="auto" w:sz="4" w:space="0"/>
              <w:bottom w:val="single" w:color="auto" w:sz="4" w:space="0"/>
              <w:right w:val="single" w:color="auto" w:sz="4" w:space="0"/>
            </w:tcBorders>
            <w:noWrap w:val="0"/>
            <w:vAlign w:val="center"/>
          </w:tcPr>
          <w:p w14:paraId="25355647">
            <w:pPr>
              <w:pStyle w:val="61"/>
              <w:spacing w:line="240" w:lineRule="auto"/>
              <w:rPr>
                <w:rFonts w:hint="eastAsia" w:eastAsia="宋体" w:cs="Times New Roman"/>
                <w:color w:val="auto"/>
              </w:rPr>
            </w:pPr>
            <w:r>
              <w:rPr>
                <w:rFonts w:hint="eastAsia" w:eastAsia="宋体" w:cs="Times New Roman"/>
                <w:color w:val="auto"/>
              </w:rPr>
              <w:t>序号</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1613B8AD">
            <w:pPr>
              <w:pStyle w:val="61"/>
              <w:spacing w:line="240" w:lineRule="auto"/>
              <w:rPr>
                <w:rFonts w:hint="eastAsia" w:eastAsia="宋体" w:cs="Times New Roman"/>
                <w:color w:val="auto"/>
              </w:rPr>
            </w:pPr>
            <w:r>
              <w:rPr>
                <w:rFonts w:hint="eastAsia" w:eastAsia="宋体" w:cs="Times New Roman"/>
                <w:color w:val="auto"/>
              </w:rPr>
              <w:t>具体措施</w:t>
            </w:r>
          </w:p>
        </w:tc>
      </w:tr>
      <w:tr w14:paraId="7A4F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5FFAE51">
            <w:pPr>
              <w:pStyle w:val="61"/>
              <w:spacing w:line="240" w:lineRule="auto"/>
              <w:rPr>
                <w:rFonts w:hint="eastAsia" w:eastAsia="宋体" w:cs="Times New Roman"/>
                <w:color w:val="auto"/>
              </w:rPr>
            </w:pPr>
            <w:r>
              <w:rPr>
                <w:rFonts w:hint="eastAsia" w:eastAsia="宋体" w:cs="Times New Roman"/>
                <w:color w:val="auto"/>
              </w:rPr>
              <w:t>1</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0501D091">
            <w:pPr>
              <w:pStyle w:val="61"/>
              <w:spacing w:line="240" w:lineRule="auto"/>
              <w:jc w:val="left"/>
              <w:rPr>
                <w:rFonts w:hint="eastAsia" w:eastAsia="宋体" w:cs="Times New Roman"/>
                <w:color w:val="auto"/>
              </w:rPr>
            </w:pPr>
            <w:r>
              <w:rPr>
                <w:rFonts w:hint="eastAsia" w:eastAsia="宋体" w:cs="Times New Roman"/>
                <w:color w:val="auto"/>
              </w:rPr>
              <w:t>根据整体施工进度提前做好材料计划，合理安排材料的采购、进场时间和批次，减少库存，材料堆放整齐，一次到位，减少二次搬运。</w:t>
            </w:r>
          </w:p>
        </w:tc>
      </w:tr>
      <w:tr w14:paraId="225D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37B0DE9">
            <w:pPr>
              <w:pStyle w:val="61"/>
              <w:spacing w:line="240" w:lineRule="auto"/>
              <w:rPr>
                <w:rFonts w:hint="eastAsia" w:eastAsia="宋体" w:cs="Times New Roman"/>
                <w:color w:val="auto"/>
              </w:rPr>
            </w:pPr>
            <w:r>
              <w:rPr>
                <w:rFonts w:hint="eastAsia" w:eastAsia="宋体" w:cs="Times New Roman"/>
                <w:color w:val="auto"/>
              </w:rPr>
              <w:t>2</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354EB281">
            <w:pPr>
              <w:pStyle w:val="61"/>
              <w:spacing w:line="240" w:lineRule="auto"/>
              <w:jc w:val="left"/>
              <w:rPr>
                <w:rFonts w:hint="eastAsia" w:eastAsia="宋体" w:cs="Times New Roman"/>
                <w:color w:val="auto"/>
              </w:rPr>
            </w:pPr>
            <w:r>
              <w:rPr>
                <w:rFonts w:hint="eastAsia" w:eastAsia="宋体" w:cs="Times New Roman"/>
                <w:color w:val="auto"/>
              </w:rPr>
              <w:t>主体结构施工阶段，水电、消防等管道的预留、预埋与结构施工同步，避免后期进行开槽埋设，节约人力物力。</w:t>
            </w:r>
          </w:p>
        </w:tc>
      </w:tr>
      <w:tr w14:paraId="38666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8E091B4">
            <w:pPr>
              <w:pStyle w:val="61"/>
              <w:spacing w:line="240" w:lineRule="auto"/>
              <w:rPr>
                <w:rFonts w:hint="eastAsia" w:eastAsia="宋体" w:cs="Times New Roman"/>
                <w:color w:val="auto"/>
              </w:rPr>
            </w:pPr>
            <w:r>
              <w:rPr>
                <w:rFonts w:hint="eastAsia" w:eastAsia="宋体" w:cs="Times New Roman"/>
                <w:color w:val="auto"/>
              </w:rPr>
              <w:t>3</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5CF1E409">
            <w:pPr>
              <w:pStyle w:val="61"/>
              <w:spacing w:line="240" w:lineRule="auto"/>
              <w:jc w:val="left"/>
              <w:rPr>
                <w:rFonts w:hint="eastAsia" w:eastAsia="宋体" w:cs="Times New Roman"/>
                <w:color w:val="auto"/>
              </w:rPr>
            </w:pPr>
            <w:r>
              <w:rPr>
                <w:rFonts w:hint="eastAsia" w:eastAsia="宋体" w:cs="Times New Roman"/>
                <w:color w:val="auto"/>
              </w:rPr>
              <w:t>施工前对管线进行深化设计，优化管线路径，尤其是机电安装和弱电专业。</w:t>
            </w:r>
          </w:p>
        </w:tc>
      </w:tr>
      <w:tr w14:paraId="0A95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0D3940A">
            <w:pPr>
              <w:pStyle w:val="61"/>
              <w:spacing w:line="240" w:lineRule="auto"/>
              <w:rPr>
                <w:rFonts w:hint="eastAsia" w:eastAsia="宋体" w:cs="Times New Roman"/>
                <w:color w:val="auto"/>
              </w:rPr>
            </w:pPr>
            <w:r>
              <w:rPr>
                <w:rFonts w:hint="eastAsia" w:eastAsia="宋体" w:cs="Times New Roman"/>
                <w:color w:val="auto"/>
              </w:rPr>
              <w:t>4</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4C744B44">
            <w:pPr>
              <w:pStyle w:val="61"/>
              <w:spacing w:line="240" w:lineRule="auto"/>
              <w:jc w:val="left"/>
              <w:rPr>
                <w:rFonts w:hint="eastAsia" w:eastAsia="宋体" w:cs="Times New Roman"/>
                <w:color w:val="auto"/>
              </w:rPr>
            </w:pPr>
            <w:r>
              <w:rPr>
                <w:rFonts w:hint="eastAsia" w:eastAsia="宋体" w:cs="Times New Roman"/>
                <w:color w:val="auto"/>
              </w:rPr>
              <w:t>材料采购就地取材：除业主指定材料外，选择综合性价比较优的国产材料；外省与本地产的同一类材料，选择综合性价比较优的本地材料，工程材料的选取尽量控制在以项目为中心周围500km范围内。</w:t>
            </w:r>
          </w:p>
        </w:tc>
      </w:tr>
      <w:tr w14:paraId="11F6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0F2C33D">
            <w:pPr>
              <w:pStyle w:val="61"/>
              <w:spacing w:line="240" w:lineRule="auto"/>
              <w:rPr>
                <w:rFonts w:hint="eastAsia" w:eastAsia="宋体" w:cs="Times New Roman"/>
                <w:color w:val="auto"/>
              </w:rPr>
            </w:pPr>
            <w:r>
              <w:rPr>
                <w:rFonts w:hint="eastAsia" w:eastAsia="宋体" w:cs="Times New Roman"/>
                <w:color w:val="auto"/>
              </w:rPr>
              <w:t>5</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0C20D32C">
            <w:pPr>
              <w:pStyle w:val="61"/>
              <w:spacing w:line="240" w:lineRule="auto"/>
              <w:jc w:val="left"/>
              <w:rPr>
                <w:rFonts w:hint="eastAsia" w:eastAsia="宋体" w:cs="Times New Roman"/>
                <w:color w:val="auto"/>
              </w:rPr>
            </w:pPr>
            <w:r>
              <w:rPr>
                <w:rFonts w:hint="eastAsia" w:eastAsia="宋体" w:cs="Times New Roman"/>
                <w:color w:val="auto"/>
              </w:rPr>
              <w:t>建立严格的材料管理制度，按照合格供应商名册进行采购，验收采用材料员、计划申报人、材料使用人三方验收签字模式进行，仓库材料的领用执行限额领料制度。</w:t>
            </w:r>
          </w:p>
        </w:tc>
      </w:tr>
      <w:tr w14:paraId="0A3A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D1EDF42">
            <w:pPr>
              <w:pStyle w:val="61"/>
              <w:spacing w:line="240" w:lineRule="auto"/>
              <w:rPr>
                <w:rFonts w:hint="eastAsia" w:eastAsia="宋体" w:cs="Times New Roman"/>
                <w:color w:val="auto"/>
              </w:rPr>
            </w:pPr>
            <w:r>
              <w:rPr>
                <w:rFonts w:hint="eastAsia" w:eastAsia="宋体" w:cs="Times New Roman"/>
                <w:color w:val="auto"/>
              </w:rPr>
              <w:t>6</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3F2F6179">
            <w:pPr>
              <w:pStyle w:val="61"/>
              <w:spacing w:line="240" w:lineRule="auto"/>
              <w:jc w:val="left"/>
              <w:rPr>
                <w:rFonts w:hint="eastAsia" w:eastAsia="宋体" w:cs="Times New Roman"/>
                <w:color w:val="auto"/>
              </w:rPr>
            </w:pPr>
            <w:r>
              <w:rPr>
                <w:rFonts w:hint="eastAsia" w:eastAsia="宋体" w:cs="Times New Roman"/>
                <w:color w:val="auto"/>
              </w:rPr>
              <w:t>现场办公和生活用房采用周转式活动房。现场围挡最大限度地利用已有围墙。力争临房、临时围挡材料的可重复使用率达到70％。</w:t>
            </w:r>
          </w:p>
        </w:tc>
      </w:tr>
      <w:tr w14:paraId="0B45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396B5A2">
            <w:pPr>
              <w:pStyle w:val="61"/>
              <w:spacing w:line="240" w:lineRule="auto"/>
              <w:rPr>
                <w:rFonts w:hint="eastAsia" w:eastAsia="宋体" w:cs="Times New Roman"/>
                <w:color w:val="auto"/>
              </w:rPr>
            </w:pPr>
            <w:r>
              <w:rPr>
                <w:rFonts w:hint="eastAsia" w:eastAsia="宋体" w:cs="Times New Roman"/>
                <w:color w:val="auto"/>
              </w:rPr>
              <w:t>7</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57034A7D">
            <w:pPr>
              <w:pStyle w:val="61"/>
              <w:spacing w:line="240" w:lineRule="auto"/>
              <w:jc w:val="left"/>
              <w:rPr>
                <w:rFonts w:hint="eastAsia" w:eastAsia="宋体" w:cs="Times New Roman"/>
                <w:color w:val="auto"/>
              </w:rPr>
            </w:pPr>
            <w:r>
              <w:rPr>
                <w:rFonts w:hint="eastAsia" w:eastAsia="宋体" w:cs="Times New Roman"/>
                <w:color w:val="auto"/>
              </w:rPr>
              <w:t>贴面类块材在施工前，进行总体排版策划，减少非整块材的数量。</w:t>
            </w:r>
          </w:p>
        </w:tc>
      </w:tr>
      <w:tr w14:paraId="0BD3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1455724">
            <w:pPr>
              <w:pStyle w:val="61"/>
              <w:spacing w:line="240" w:lineRule="auto"/>
              <w:rPr>
                <w:rFonts w:hint="eastAsia" w:eastAsia="宋体" w:cs="Times New Roman"/>
                <w:color w:val="auto"/>
              </w:rPr>
            </w:pPr>
            <w:r>
              <w:rPr>
                <w:rFonts w:hint="eastAsia" w:eastAsia="宋体" w:cs="Times New Roman"/>
                <w:color w:val="auto"/>
              </w:rPr>
              <w:t>8</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5A9D90CF">
            <w:pPr>
              <w:pStyle w:val="61"/>
              <w:spacing w:line="240" w:lineRule="auto"/>
              <w:jc w:val="left"/>
              <w:rPr>
                <w:rFonts w:hint="eastAsia" w:eastAsia="宋体" w:cs="Times New Roman"/>
                <w:color w:val="auto"/>
              </w:rPr>
            </w:pPr>
            <w:r>
              <w:rPr>
                <w:rFonts w:hint="eastAsia" w:eastAsia="宋体" w:cs="Times New Roman"/>
                <w:color w:val="auto"/>
              </w:rPr>
              <w:t>临建门窗采用密封性、保温隔热性能、隔音性能良好的型材和玻璃等材料。屋面材料、外墙材料具有良好的防水性能和保温隔热性能。</w:t>
            </w:r>
          </w:p>
        </w:tc>
      </w:tr>
      <w:tr w14:paraId="7580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10D70B4">
            <w:pPr>
              <w:pStyle w:val="61"/>
              <w:spacing w:line="240" w:lineRule="auto"/>
              <w:rPr>
                <w:rFonts w:hint="eastAsia" w:eastAsia="宋体" w:cs="Times New Roman"/>
                <w:color w:val="auto"/>
              </w:rPr>
            </w:pPr>
            <w:r>
              <w:rPr>
                <w:rFonts w:hint="eastAsia" w:eastAsia="宋体" w:cs="Times New Roman"/>
                <w:color w:val="auto"/>
              </w:rPr>
              <w:t>9</w:t>
            </w:r>
          </w:p>
        </w:tc>
        <w:tc>
          <w:tcPr>
            <w:tcW w:w="2207" w:type="pct"/>
            <w:tcBorders>
              <w:top w:val="single" w:color="auto" w:sz="4" w:space="0"/>
              <w:left w:val="single" w:color="auto" w:sz="4" w:space="0"/>
              <w:bottom w:val="single" w:color="auto" w:sz="4" w:space="0"/>
              <w:right w:val="single" w:color="auto" w:sz="4" w:space="0"/>
            </w:tcBorders>
            <w:noWrap w:val="0"/>
            <w:vAlign w:val="center"/>
          </w:tcPr>
          <w:p w14:paraId="7C943353">
            <w:pPr>
              <w:pStyle w:val="61"/>
              <w:spacing w:line="240" w:lineRule="auto"/>
              <w:rPr>
                <w:rFonts w:hint="eastAsia" w:eastAsia="宋体" w:cs="Times New Roman"/>
                <w:color w:val="auto"/>
              </w:rPr>
            </w:pPr>
            <w:r>
              <w:rPr>
                <w:rFonts w:hint="eastAsia" w:eastAsia="宋体" w:cs="Times New Roman"/>
                <w:color w:val="auto"/>
              </w:rPr>
              <w:drawing>
                <wp:inline distT="0" distB="0" distL="114300" distR="114300">
                  <wp:extent cx="1822450" cy="1371600"/>
                  <wp:effectExtent l="0" t="0" r="6350" b="0"/>
                  <wp:docPr id="45" name="图片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571"/>
                          <pic:cNvPicPr>
                            <a:picLocks noChangeAspect="1"/>
                          </pic:cNvPicPr>
                        </pic:nvPicPr>
                        <pic:blipFill>
                          <a:blip r:embed="rId69"/>
                          <a:stretch>
                            <a:fillRect/>
                          </a:stretch>
                        </pic:blipFill>
                        <pic:spPr>
                          <a:xfrm>
                            <a:off x="0" y="0"/>
                            <a:ext cx="1822450" cy="1371600"/>
                          </a:xfrm>
                          <a:prstGeom prst="rect">
                            <a:avLst/>
                          </a:prstGeom>
                          <a:noFill/>
                          <a:ln>
                            <a:noFill/>
                          </a:ln>
                        </pic:spPr>
                      </pic:pic>
                    </a:graphicData>
                  </a:graphic>
                </wp:inline>
              </w:drawing>
            </w:r>
          </w:p>
          <w:p w14:paraId="1E1EF96B">
            <w:pPr>
              <w:pStyle w:val="61"/>
              <w:spacing w:line="240" w:lineRule="auto"/>
              <w:rPr>
                <w:rFonts w:hint="eastAsia" w:eastAsia="宋体" w:cs="Times New Roman"/>
                <w:color w:val="auto"/>
              </w:rPr>
            </w:pPr>
            <w:r>
              <w:rPr>
                <w:rFonts w:hint="eastAsia" w:eastAsia="宋体" w:cs="Times New Roman"/>
                <w:color w:val="auto"/>
              </w:rPr>
              <w:t>架料堆放</w:t>
            </w:r>
          </w:p>
        </w:tc>
        <w:tc>
          <w:tcPr>
            <w:tcW w:w="2344" w:type="pct"/>
            <w:tcBorders>
              <w:top w:val="single" w:color="auto" w:sz="4" w:space="0"/>
              <w:left w:val="single" w:color="auto" w:sz="4" w:space="0"/>
              <w:bottom w:val="single" w:color="auto" w:sz="4" w:space="0"/>
              <w:right w:val="single" w:color="auto" w:sz="4" w:space="0"/>
            </w:tcBorders>
            <w:noWrap w:val="0"/>
            <w:vAlign w:val="center"/>
          </w:tcPr>
          <w:p w14:paraId="1A61B4E3">
            <w:pPr>
              <w:pStyle w:val="61"/>
              <w:spacing w:line="240" w:lineRule="auto"/>
              <w:rPr>
                <w:rFonts w:hint="eastAsia" w:eastAsia="宋体" w:cs="Times New Roman"/>
                <w:color w:val="auto"/>
              </w:rPr>
            </w:pPr>
            <w:r>
              <w:rPr>
                <w:rFonts w:hint="eastAsia" w:eastAsia="宋体" w:cs="Times New Roman"/>
                <w:color w:val="auto"/>
              </w:rPr>
              <w:drawing>
                <wp:inline distT="0" distB="0" distL="114300" distR="114300">
                  <wp:extent cx="1847850" cy="1364615"/>
                  <wp:effectExtent l="0" t="0" r="6350" b="6985"/>
                  <wp:docPr id="46" name="图片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72"/>
                          <pic:cNvPicPr>
                            <a:picLocks noChangeAspect="1"/>
                          </pic:cNvPicPr>
                        </pic:nvPicPr>
                        <pic:blipFill>
                          <a:blip r:embed="rId70"/>
                          <a:stretch>
                            <a:fillRect/>
                          </a:stretch>
                        </pic:blipFill>
                        <pic:spPr>
                          <a:xfrm>
                            <a:off x="0" y="0"/>
                            <a:ext cx="1847850" cy="1364615"/>
                          </a:xfrm>
                          <a:prstGeom prst="rect">
                            <a:avLst/>
                          </a:prstGeom>
                          <a:noFill/>
                          <a:ln>
                            <a:noFill/>
                          </a:ln>
                        </pic:spPr>
                      </pic:pic>
                    </a:graphicData>
                  </a:graphic>
                </wp:inline>
              </w:drawing>
            </w:r>
          </w:p>
          <w:p w14:paraId="797C183C">
            <w:pPr>
              <w:pStyle w:val="61"/>
              <w:spacing w:line="240" w:lineRule="auto"/>
              <w:rPr>
                <w:rFonts w:hint="eastAsia" w:eastAsia="宋体" w:cs="Times New Roman"/>
                <w:color w:val="auto"/>
              </w:rPr>
            </w:pPr>
            <w:r>
              <w:rPr>
                <w:rFonts w:hint="eastAsia" w:eastAsia="宋体" w:cs="Times New Roman"/>
                <w:color w:val="auto"/>
              </w:rPr>
              <w:t>钢筋分类堆放</w:t>
            </w:r>
          </w:p>
        </w:tc>
      </w:tr>
    </w:tbl>
    <w:p w14:paraId="483F0CC6">
      <w:pPr>
        <w:rPr>
          <w:rFonts w:hint="eastAsia" w:ascii="Times New Roman" w:hAnsi="Times New Roman" w:eastAsia="宋体" w:cs="Times New Roman"/>
          <w:color w:val="auto"/>
        </w:rPr>
      </w:pPr>
      <w:bookmarkStart w:id="72" w:name="_Toc296604951"/>
      <w:r>
        <w:rPr>
          <w:rFonts w:hint="eastAsia" w:ascii="Times New Roman" w:hAnsi="Times New Roman" w:eastAsia="宋体" w:cs="Times New Roman"/>
          <w:color w:val="auto"/>
        </w:rPr>
        <w:t>2、废弃物回收利用</w:t>
      </w:r>
      <w:bookmarkEnd w:id="72"/>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4223"/>
        <w:gridCol w:w="4229"/>
      </w:tblGrid>
      <w:tr w14:paraId="705B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9" w:type="pct"/>
            <w:tcBorders>
              <w:top w:val="single" w:color="auto" w:sz="4" w:space="0"/>
              <w:left w:val="single" w:color="auto" w:sz="4" w:space="0"/>
              <w:bottom w:val="single" w:color="auto" w:sz="4" w:space="0"/>
              <w:right w:val="single" w:color="auto" w:sz="4" w:space="0"/>
            </w:tcBorders>
            <w:noWrap w:val="0"/>
            <w:vAlign w:val="center"/>
          </w:tcPr>
          <w:p w14:paraId="1A82441D">
            <w:pPr>
              <w:pStyle w:val="61"/>
              <w:spacing w:line="240" w:lineRule="auto"/>
              <w:rPr>
                <w:rFonts w:hint="eastAsia" w:eastAsia="宋体" w:cs="Times New Roman"/>
                <w:color w:val="auto"/>
              </w:rPr>
            </w:pPr>
            <w:r>
              <w:rPr>
                <w:rFonts w:hint="eastAsia" w:eastAsia="宋体" w:cs="Times New Roman"/>
                <w:color w:val="auto"/>
              </w:rPr>
              <w:t>序号</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6AFEDBBB">
            <w:pPr>
              <w:pStyle w:val="61"/>
              <w:spacing w:line="240" w:lineRule="auto"/>
              <w:rPr>
                <w:rFonts w:hint="eastAsia" w:eastAsia="宋体" w:cs="Times New Roman"/>
                <w:color w:val="auto"/>
              </w:rPr>
            </w:pPr>
            <w:r>
              <w:rPr>
                <w:rFonts w:hint="eastAsia" w:eastAsia="宋体" w:cs="Times New Roman"/>
                <w:color w:val="auto"/>
              </w:rPr>
              <w:t>具体措施</w:t>
            </w:r>
          </w:p>
        </w:tc>
      </w:tr>
      <w:tr w14:paraId="1100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28B47BB">
            <w:pPr>
              <w:pStyle w:val="61"/>
              <w:spacing w:line="240" w:lineRule="auto"/>
              <w:rPr>
                <w:rFonts w:hint="eastAsia" w:eastAsia="宋体" w:cs="Times New Roman"/>
                <w:color w:val="auto"/>
              </w:rPr>
            </w:pPr>
            <w:r>
              <w:rPr>
                <w:rFonts w:hint="eastAsia" w:eastAsia="宋体" w:cs="Times New Roman"/>
                <w:color w:val="auto"/>
              </w:rPr>
              <w:t>1</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6A250032">
            <w:pPr>
              <w:pStyle w:val="61"/>
              <w:spacing w:line="240" w:lineRule="auto"/>
              <w:jc w:val="left"/>
              <w:rPr>
                <w:rFonts w:hint="eastAsia" w:eastAsia="宋体" w:cs="Times New Roman"/>
                <w:color w:val="auto"/>
              </w:rPr>
            </w:pPr>
            <w:r>
              <w:rPr>
                <w:rFonts w:hint="eastAsia" w:eastAsia="宋体" w:cs="Times New Roman"/>
                <w:color w:val="auto"/>
              </w:rPr>
              <w:t>施工期间加强落地灰利用，减少建筑垃圾产生，变废为宝。</w:t>
            </w:r>
          </w:p>
        </w:tc>
      </w:tr>
      <w:tr w14:paraId="2C67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9D98A09">
            <w:pPr>
              <w:pStyle w:val="61"/>
              <w:spacing w:line="240" w:lineRule="auto"/>
              <w:rPr>
                <w:rFonts w:hint="eastAsia" w:eastAsia="宋体" w:cs="Times New Roman"/>
                <w:color w:val="auto"/>
              </w:rPr>
            </w:pPr>
            <w:r>
              <w:rPr>
                <w:rFonts w:hint="eastAsia" w:eastAsia="宋体" w:cs="Times New Roman"/>
                <w:color w:val="auto"/>
              </w:rPr>
              <w:t>2</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5912E5B4">
            <w:pPr>
              <w:pStyle w:val="61"/>
              <w:spacing w:line="240" w:lineRule="auto"/>
              <w:jc w:val="left"/>
              <w:rPr>
                <w:rFonts w:hint="eastAsia" w:eastAsia="宋体" w:cs="Times New Roman"/>
                <w:color w:val="auto"/>
              </w:rPr>
            </w:pPr>
            <w:r>
              <w:rPr>
                <w:rFonts w:hint="eastAsia" w:eastAsia="宋体" w:cs="Times New Roman"/>
                <w:color w:val="auto"/>
              </w:rPr>
              <w:t>加大资源和材料的回收利用、循环利用力度，在施工现场制定废物回收制度，再回收或重复利用废旧材料，减少施工中材料的消耗量。</w:t>
            </w:r>
          </w:p>
        </w:tc>
      </w:tr>
      <w:tr w14:paraId="60E0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7E34D8B">
            <w:pPr>
              <w:pStyle w:val="61"/>
              <w:spacing w:line="240" w:lineRule="auto"/>
              <w:rPr>
                <w:rFonts w:hint="eastAsia" w:eastAsia="宋体" w:cs="Times New Roman"/>
                <w:color w:val="auto"/>
              </w:rPr>
            </w:pPr>
            <w:r>
              <w:rPr>
                <w:rFonts w:hint="eastAsia" w:eastAsia="宋体" w:cs="Times New Roman"/>
                <w:color w:val="auto"/>
              </w:rPr>
              <w:t>3</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0D0DBE9C">
            <w:pPr>
              <w:pStyle w:val="61"/>
              <w:spacing w:line="240" w:lineRule="auto"/>
              <w:jc w:val="left"/>
              <w:rPr>
                <w:rFonts w:hint="eastAsia" w:eastAsia="宋体" w:cs="Times New Roman"/>
                <w:color w:val="auto"/>
              </w:rPr>
            </w:pPr>
            <w:r>
              <w:rPr>
                <w:rFonts w:hint="eastAsia" w:eastAsia="宋体" w:cs="Times New Roman"/>
                <w:color w:val="auto"/>
              </w:rPr>
              <w:t>废弃钢筋用于制作模板及标高的定位筋、排水沟盖板、预埋件等。</w:t>
            </w:r>
          </w:p>
        </w:tc>
      </w:tr>
      <w:tr w14:paraId="58C7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D7B5DD7">
            <w:pPr>
              <w:pStyle w:val="61"/>
              <w:spacing w:line="240" w:lineRule="auto"/>
              <w:rPr>
                <w:rFonts w:hint="eastAsia" w:eastAsia="宋体" w:cs="Times New Roman"/>
                <w:color w:val="auto"/>
              </w:rPr>
            </w:pPr>
            <w:r>
              <w:rPr>
                <w:rFonts w:hint="eastAsia" w:eastAsia="宋体" w:cs="Times New Roman"/>
                <w:color w:val="auto"/>
              </w:rPr>
              <w:t>4</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49D8A98E">
            <w:pPr>
              <w:pStyle w:val="61"/>
              <w:spacing w:line="240" w:lineRule="auto"/>
              <w:jc w:val="left"/>
              <w:rPr>
                <w:rFonts w:hint="eastAsia" w:eastAsia="宋体" w:cs="Times New Roman"/>
                <w:color w:val="auto"/>
              </w:rPr>
            </w:pPr>
            <w:r>
              <w:rPr>
                <w:rFonts w:hint="eastAsia" w:eastAsia="宋体" w:cs="Times New Roman"/>
                <w:color w:val="auto"/>
              </w:rPr>
              <w:t>废弃模板用于制作脚手架踢脚板、洞口防护隔离、排水沟盖板以及制作现场、生活、办公区花坛花圃的栏杆围挡等。</w:t>
            </w:r>
          </w:p>
        </w:tc>
      </w:tr>
      <w:tr w14:paraId="4057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6AE8C57">
            <w:pPr>
              <w:pStyle w:val="61"/>
              <w:spacing w:line="240" w:lineRule="auto"/>
              <w:rPr>
                <w:rFonts w:hint="eastAsia" w:eastAsia="宋体" w:cs="Times New Roman"/>
                <w:color w:val="auto"/>
              </w:rPr>
            </w:pPr>
            <w:r>
              <w:rPr>
                <w:rFonts w:hint="eastAsia" w:eastAsia="宋体" w:cs="Times New Roman"/>
                <w:color w:val="auto"/>
              </w:rPr>
              <w:t>5</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17E36766">
            <w:pPr>
              <w:pStyle w:val="61"/>
              <w:spacing w:line="240" w:lineRule="auto"/>
              <w:jc w:val="left"/>
              <w:rPr>
                <w:rFonts w:hint="eastAsia" w:eastAsia="宋体" w:cs="Times New Roman"/>
                <w:color w:val="auto"/>
              </w:rPr>
            </w:pPr>
            <w:r>
              <w:rPr>
                <w:rFonts w:hint="eastAsia" w:eastAsia="宋体" w:cs="Times New Roman"/>
                <w:color w:val="auto"/>
              </w:rPr>
              <w:t>多余混凝土用于浇筑混凝土预制构件、浇筑临时道路、硬化地坪等。</w:t>
            </w:r>
          </w:p>
        </w:tc>
      </w:tr>
      <w:tr w14:paraId="6A66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63783C2">
            <w:pPr>
              <w:pStyle w:val="61"/>
              <w:spacing w:line="240" w:lineRule="auto"/>
              <w:rPr>
                <w:rFonts w:hint="eastAsia" w:eastAsia="宋体" w:cs="Times New Roman"/>
                <w:color w:val="auto"/>
              </w:rPr>
            </w:pPr>
            <w:r>
              <w:rPr>
                <w:rFonts w:hint="eastAsia" w:eastAsia="宋体" w:cs="Times New Roman"/>
                <w:color w:val="auto"/>
              </w:rPr>
              <w:t>6</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3E8F84B6">
            <w:pPr>
              <w:pStyle w:val="61"/>
              <w:spacing w:line="240" w:lineRule="auto"/>
              <w:jc w:val="left"/>
              <w:rPr>
                <w:rFonts w:hint="eastAsia" w:eastAsia="宋体" w:cs="Times New Roman"/>
                <w:color w:val="auto"/>
              </w:rPr>
            </w:pPr>
            <w:r>
              <w:rPr>
                <w:rFonts w:hint="eastAsia" w:eastAsia="宋体" w:cs="Times New Roman"/>
                <w:color w:val="auto"/>
              </w:rPr>
              <w:t>办公区、生活区均设置可回收和不可回收垃圾桶，对打印废纸等进行回收二次利用。</w:t>
            </w:r>
          </w:p>
        </w:tc>
      </w:tr>
      <w:tr w14:paraId="30D7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43D21A0">
            <w:pPr>
              <w:pStyle w:val="61"/>
              <w:spacing w:line="240" w:lineRule="auto"/>
              <w:rPr>
                <w:rFonts w:hint="eastAsia" w:eastAsia="宋体" w:cs="Times New Roman"/>
                <w:color w:val="auto"/>
              </w:rPr>
            </w:pPr>
            <w:r>
              <w:rPr>
                <w:rFonts w:hint="eastAsia" w:eastAsia="宋体" w:cs="Times New Roman"/>
                <w:color w:val="auto"/>
              </w:rPr>
              <w:t>7</w:t>
            </w:r>
          </w:p>
        </w:tc>
        <w:tc>
          <w:tcPr>
            <w:tcW w:w="2274" w:type="pct"/>
            <w:tcBorders>
              <w:top w:val="single" w:color="auto" w:sz="4" w:space="0"/>
              <w:left w:val="single" w:color="auto" w:sz="4" w:space="0"/>
              <w:bottom w:val="single" w:color="auto" w:sz="4" w:space="0"/>
              <w:right w:val="single" w:color="auto" w:sz="4" w:space="0"/>
            </w:tcBorders>
            <w:noWrap w:val="0"/>
            <w:vAlign w:val="center"/>
          </w:tcPr>
          <w:p w14:paraId="6756433B">
            <w:pPr>
              <w:pStyle w:val="61"/>
              <w:spacing w:line="240" w:lineRule="auto"/>
              <w:rPr>
                <w:rFonts w:hint="eastAsia" w:eastAsia="宋体" w:cs="Times New Roman"/>
                <w:color w:val="auto"/>
              </w:rPr>
            </w:pPr>
            <w:r>
              <w:rPr>
                <w:rFonts w:hint="eastAsia" w:eastAsia="宋体" w:cs="Times New Roman"/>
                <w:color w:val="auto"/>
              </w:rPr>
              <w:drawing>
                <wp:inline distT="0" distB="0" distL="114300" distR="114300">
                  <wp:extent cx="1786890" cy="1361440"/>
                  <wp:effectExtent l="0" t="0" r="3810" b="10160"/>
                  <wp:docPr id="47" name="图片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573"/>
                          <pic:cNvPicPr>
                            <a:picLocks noChangeAspect="1"/>
                          </pic:cNvPicPr>
                        </pic:nvPicPr>
                        <pic:blipFill>
                          <a:blip r:embed="rId71"/>
                          <a:stretch>
                            <a:fillRect/>
                          </a:stretch>
                        </pic:blipFill>
                        <pic:spPr>
                          <a:xfrm>
                            <a:off x="0" y="0"/>
                            <a:ext cx="1786890" cy="1361440"/>
                          </a:xfrm>
                          <a:prstGeom prst="rect">
                            <a:avLst/>
                          </a:prstGeom>
                          <a:noFill/>
                          <a:ln>
                            <a:noFill/>
                          </a:ln>
                        </pic:spPr>
                      </pic:pic>
                    </a:graphicData>
                  </a:graphic>
                </wp:inline>
              </w:drawing>
            </w:r>
          </w:p>
          <w:p w14:paraId="7F954DEB">
            <w:pPr>
              <w:pStyle w:val="61"/>
              <w:spacing w:line="240" w:lineRule="auto"/>
              <w:rPr>
                <w:rFonts w:hint="eastAsia" w:eastAsia="宋体" w:cs="Times New Roman"/>
                <w:color w:val="auto"/>
              </w:rPr>
            </w:pPr>
            <w:r>
              <w:rPr>
                <w:rFonts w:hint="eastAsia" w:eastAsia="宋体" w:cs="Times New Roman"/>
                <w:color w:val="auto"/>
              </w:rPr>
              <w:t>利用废模板洞口封闭</w:t>
            </w:r>
          </w:p>
        </w:tc>
        <w:tc>
          <w:tcPr>
            <w:tcW w:w="2277" w:type="pct"/>
            <w:tcBorders>
              <w:top w:val="single" w:color="auto" w:sz="4" w:space="0"/>
              <w:left w:val="single" w:color="auto" w:sz="4" w:space="0"/>
              <w:bottom w:val="single" w:color="auto" w:sz="4" w:space="0"/>
              <w:right w:val="single" w:color="auto" w:sz="4" w:space="0"/>
            </w:tcBorders>
            <w:noWrap w:val="0"/>
            <w:vAlign w:val="center"/>
          </w:tcPr>
          <w:p w14:paraId="31312C91">
            <w:pPr>
              <w:pStyle w:val="61"/>
              <w:spacing w:line="240" w:lineRule="auto"/>
              <w:rPr>
                <w:rFonts w:hint="eastAsia" w:eastAsia="宋体" w:cs="Times New Roman"/>
                <w:color w:val="auto"/>
              </w:rPr>
            </w:pPr>
            <w:r>
              <w:rPr>
                <w:rFonts w:hint="eastAsia" w:eastAsia="宋体" w:cs="Times New Roman"/>
                <w:color w:val="auto"/>
              </w:rPr>
              <w:drawing>
                <wp:inline distT="0" distB="0" distL="114300" distR="114300">
                  <wp:extent cx="1187450" cy="1325880"/>
                  <wp:effectExtent l="0" t="0" r="6350" b="7620"/>
                  <wp:docPr id="48" name="图片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74"/>
                          <pic:cNvPicPr>
                            <a:picLocks noChangeAspect="1"/>
                          </pic:cNvPicPr>
                        </pic:nvPicPr>
                        <pic:blipFill>
                          <a:blip r:embed="rId72"/>
                          <a:stretch>
                            <a:fillRect/>
                          </a:stretch>
                        </pic:blipFill>
                        <pic:spPr>
                          <a:xfrm>
                            <a:off x="0" y="0"/>
                            <a:ext cx="1187450" cy="1325880"/>
                          </a:xfrm>
                          <a:prstGeom prst="rect">
                            <a:avLst/>
                          </a:prstGeom>
                          <a:noFill/>
                          <a:ln>
                            <a:noFill/>
                          </a:ln>
                        </pic:spPr>
                      </pic:pic>
                    </a:graphicData>
                  </a:graphic>
                </wp:inline>
              </w:drawing>
            </w:r>
          </w:p>
          <w:p w14:paraId="4DF59EC6">
            <w:pPr>
              <w:pStyle w:val="61"/>
              <w:spacing w:line="240" w:lineRule="auto"/>
              <w:rPr>
                <w:rFonts w:hint="eastAsia" w:eastAsia="宋体" w:cs="Times New Roman"/>
                <w:color w:val="auto"/>
              </w:rPr>
            </w:pPr>
            <w:r>
              <w:rPr>
                <w:rFonts w:hint="eastAsia" w:eastAsia="宋体" w:cs="Times New Roman"/>
                <w:color w:val="auto"/>
              </w:rPr>
              <w:t>洗泵混凝土余料回收</w:t>
            </w:r>
          </w:p>
        </w:tc>
      </w:tr>
    </w:tbl>
    <w:p w14:paraId="682D2490">
      <w:pPr>
        <w:pStyle w:val="4"/>
        <w:rPr>
          <w:rFonts w:hint="eastAsia"/>
          <w:color w:val="auto"/>
        </w:rPr>
      </w:pPr>
      <w:bookmarkStart w:id="73" w:name="_Toc13503"/>
      <w:r>
        <w:rPr>
          <w:rFonts w:hint="eastAsia"/>
          <w:color w:val="auto"/>
        </w:rPr>
        <w:t>节水与水资源利用保证措施</w:t>
      </w:r>
      <w:bookmarkEnd w:id="73"/>
    </w:p>
    <w:p w14:paraId="1DB882A7">
      <w:pPr>
        <w:pStyle w:val="7"/>
        <w:ind w:firstLine="0"/>
        <w:rPr>
          <w:rFonts w:hint="eastAsia"/>
          <w:color w:val="auto"/>
        </w:rPr>
      </w:pPr>
      <w:bookmarkStart w:id="74" w:name="_Toc202510568"/>
      <w:bookmarkEnd w:id="74"/>
      <w:bookmarkStart w:id="75" w:name="_Toc17975"/>
      <w:r>
        <w:rPr>
          <w:rFonts w:hint="eastAsia"/>
          <w:color w:val="auto"/>
        </w:rPr>
        <w:t>节水与水资源利用保证措施</w:t>
      </w:r>
      <w:bookmarkEnd w:id="75"/>
    </w:p>
    <w:p w14:paraId="54AE0586">
      <w:pPr>
        <w:rPr>
          <w:rFonts w:hint="eastAsia"/>
          <w:color w:val="auto"/>
        </w:rPr>
      </w:pPr>
      <w:r>
        <w:rPr>
          <w:rFonts w:hint="eastAsia"/>
          <w:color w:val="auto"/>
        </w:rPr>
        <w:t>1、制度与指标</w:t>
      </w:r>
    </w:p>
    <w:p w14:paraId="0A1CABE1">
      <w:pPr>
        <w:rPr>
          <w:rFonts w:hint="eastAsia"/>
          <w:color w:val="auto"/>
        </w:rPr>
      </w:pPr>
      <w:r>
        <w:rPr>
          <w:rFonts w:hint="eastAsia"/>
          <w:color w:val="auto"/>
        </w:rPr>
        <w:t>（1）签订劳务合同时，将节水节电指标纳入合同条款。</w:t>
      </w:r>
    </w:p>
    <w:p w14:paraId="2C8A6B04">
      <w:pPr>
        <w:rPr>
          <w:rFonts w:hint="eastAsia"/>
          <w:color w:val="auto"/>
        </w:rPr>
      </w:pPr>
      <w:r>
        <w:rPr>
          <w:rFonts w:hint="eastAsia"/>
          <w:color w:val="auto"/>
        </w:rPr>
        <w:t>（2）根据用水性质的不同，每月对各类用水进行单独计量、统计。各分区采用计量器具，施工现场3块，办公区、生活区3块。</w:t>
      </w:r>
    </w:p>
    <w:p w14:paraId="7111FF62">
      <w:pPr>
        <w:rPr>
          <w:rFonts w:hint="eastAsia"/>
          <w:color w:val="auto"/>
        </w:rPr>
      </w:pPr>
      <w:r>
        <w:rPr>
          <w:rFonts w:hint="eastAsia"/>
          <w:color w:val="auto"/>
        </w:rPr>
        <w:t>（3）现场按生活区、生产区分别布置给水系统，生活区用水管PPR热熔连接，主管直径分别为65mm、50mm，支管直径20mm，各支管末端设置半球阀水龙头；生产用水管网PPR热熔连接，各支管末端设置旋转球阀。</w:t>
      </w:r>
    </w:p>
    <w:p w14:paraId="0560FD60">
      <w:pPr>
        <w:rPr>
          <w:rFonts w:hint="eastAsia"/>
          <w:color w:val="auto"/>
        </w:rPr>
      </w:pPr>
      <w:r>
        <w:rPr>
          <w:rFonts w:hint="eastAsia"/>
          <w:color w:val="auto"/>
        </w:rPr>
        <w:t>（4）砂浆集中搅拌点设置盛水器具，对用施工用水进行定量控制。</w:t>
      </w:r>
    </w:p>
    <w:p w14:paraId="0A831C40">
      <w:pPr>
        <w:rPr>
          <w:rFonts w:hint="eastAsia"/>
          <w:color w:val="auto"/>
        </w:rPr>
      </w:pPr>
      <w:r>
        <w:rPr>
          <w:rFonts w:hint="eastAsia"/>
          <w:color w:val="auto"/>
        </w:rPr>
        <w:t>（5）现场按照分区计量的原则在生产、生活区分别设置水表，对生产、生活区的用水量分别进行统计分析。</w:t>
      </w:r>
    </w:p>
    <w:p w14:paraId="6DEC4B95">
      <w:pPr>
        <w:rPr>
          <w:rFonts w:hint="eastAsia"/>
          <w:color w:val="auto"/>
        </w:rPr>
      </w:pPr>
      <w:r>
        <w:rPr>
          <w:rFonts w:hint="eastAsia"/>
          <w:color w:val="auto"/>
        </w:rPr>
        <w:t>（6）现浇混凝土结构混凝土浇筑完毕后，及时覆盖薄膜进行保湿养护。竖向结构采用涂刷养护液养护。</w:t>
      </w:r>
    </w:p>
    <w:p w14:paraId="046811F6">
      <w:pPr>
        <w:rPr>
          <w:rFonts w:hint="eastAsia"/>
          <w:color w:val="auto"/>
        </w:rPr>
      </w:pPr>
      <w:r>
        <w:rPr>
          <w:rFonts w:hint="eastAsia"/>
          <w:color w:val="auto"/>
        </w:rPr>
        <w:t>（7）现场办公生活区均采用节水设备。</w:t>
      </w:r>
    </w:p>
    <w:p w14:paraId="4F5BD9C3">
      <w:pPr>
        <w:rPr>
          <w:rFonts w:hint="eastAsia"/>
          <w:color w:val="auto"/>
        </w:rPr>
      </w:pPr>
      <w:r>
        <w:rPr>
          <w:rFonts w:hint="eastAsia"/>
          <w:color w:val="auto"/>
        </w:rPr>
        <w:t>（8）设置雨水收集池，将收集的雨水等用于进出场车辆冲洗、浇灌路面及绿化浇灌及卫生间冲洗。</w:t>
      </w:r>
    </w:p>
    <w:p w14:paraId="6A2463F7">
      <w:pPr>
        <w:rPr>
          <w:rFonts w:hint="eastAsia"/>
          <w:color w:val="auto"/>
        </w:rPr>
      </w:pPr>
      <w:r>
        <w:rPr>
          <w:rFonts w:hint="eastAsia"/>
          <w:color w:val="auto"/>
        </w:rPr>
        <w:t>（9）管网及用水器具定期检查，避免渗漏，造成水资源的浪费。</w:t>
      </w:r>
    </w:p>
    <w:p w14:paraId="26E769FC">
      <w:pPr>
        <w:rPr>
          <w:rFonts w:hint="eastAsia"/>
          <w:color w:val="auto"/>
        </w:rPr>
      </w:pPr>
      <w:r>
        <w:rPr>
          <w:rFonts w:hint="eastAsia"/>
          <w:color w:val="auto"/>
        </w:rPr>
        <w:t>2、控制项</w:t>
      </w:r>
    </w:p>
    <w:p w14:paraId="2DC5744A">
      <w:pPr>
        <w:rPr>
          <w:rFonts w:hint="eastAsia"/>
          <w:color w:val="auto"/>
        </w:rPr>
      </w:pPr>
      <w:r>
        <w:rPr>
          <w:rFonts w:hint="eastAsia"/>
          <w:color w:val="auto"/>
        </w:rPr>
        <w:t>签订标段分包或劳务合同时，应将节水指标纳入合同条款。应有计量考核记录。</w:t>
      </w:r>
    </w:p>
    <w:p w14:paraId="24242ABF">
      <w:pPr>
        <w:rPr>
          <w:rFonts w:hint="eastAsia"/>
          <w:color w:val="auto"/>
        </w:rPr>
      </w:pPr>
      <w:r>
        <w:rPr>
          <w:rFonts w:hint="eastAsia"/>
          <w:color w:val="auto"/>
        </w:rPr>
        <w:t>3、一般项</w:t>
      </w:r>
    </w:p>
    <w:p w14:paraId="18C8368D">
      <w:pPr>
        <w:rPr>
          <w:rFonts w:hint="eastAsia"/>
          <w:color w:val="auto"/>
        </w:rPr>
      </w:pPr>
      <w:r>
        <w:rPr>
          <w:rFonts w:hint="eastAsia"/>
          <w:color w:val="auto"/>
        </w:rPr>
        <w:t>（1）节约用水</w:t>
      </w:r>
    </w:p>
    <w:p w14:paraId="1A066FD1">
      <w:pPr>
        <w:rPr>
          <w:rFonts w:hint="eastAsia"/>
          <w:color w:val="auto"/>
        </w:rPr>
      </w:pPr>
      <w:r>
        <w:rPr>
          <w:rFonts w:hint="eastAsia"/>
          <w:color w:val="auto"/>
        </w:rPr>
        <w:t>①根据工程特点，制定用水定额</w:t>
      </w:r>
    </w:p>
    <w:p w14:paraId="352D8454">
      <w:pPr>
        <w:rPr>
          <w:rFonts w:hint="eastAsia"/>
          <w:color w:val="auto"/>
        </w:rPr>
      </w:pPr>
      <w:r>
        <w:rPr>
          <w:rFonts w:hint="eastAsia"/>
          <w:color w:val="auto"/>
        </w:rPr>
        <w:t>a根据工程特点及施工手册，制定施工用水定额及生活用水定额。</w:t>
      </w:r>
    </w:p>
    <w:p w14:paraId="1AC24226">
      <w:pPr>
        <w:rPr>
          <w:rFonts w:hint="eastAsia"/>
          <w:color w:val="auto"/>
        </w:rPr>
      </w:pPr>
      <w:r>
        <w:rPr>
          <w:rFonts w:hint="eastAsia"/>
          <w:color w:val="auto"/>
        </w:rPr>
        <w:t>b本工程施工用水定额低于施工手册10%，生活用水定额低于施工手册15%。</w:t>
      </w:r>
    </w:p>
    <w:p w14:paraId="0A0B1DBA">
      <w:pPr>
        <w:rPr>
          <w:rFonts w:hint="eastAsia"/>
          <w:color w:val="auto"/>
        </w:rPr>
      </w:pPr>
      <w:r>
        <w:rPr>
          <w:rFonts w:hint="eastAsia"/>
          <w:color w:val="auto"/>
        </w:rPr>
        <w:t>②施工现场供水、排水系统应合理适用</w:t>
      </w:r>
    </w:p>
    <w:p w14:paraId="785DE617">
      <w:pPr>
        <w:rPr>
          <w:rFonts w:hint="eastAsia"/>
          <w:color w:val="auto"/>
        </w:rPr>
      </w:pPr>
      <w:r>
        <w:rPr>
          <w:rFonts w:hint="eastAsia"/>
          <w:color w:val="auto"/>
        </w:rPr>
        <w:t>a生活区及施工现场供水系统分开设置。</w:t>
      </w:r>
    </w:p>
    <w:p w14:paraId="1204D582">
      <w:pPr>
        <w:rPr>
          <w:rFonts w:hint="eastAsia"/>
          <w:color w:val="auto"/>
        </w:rPr>
      </w:pPr>
      <w:r>
        <w:rPr>
          <w:rFonts w:hint="eastAsia"/>
          <w:color w:val="auto"/>
        </w:rPr>
        <w:t>b排水系统应确保全场无积水，尽量缩短排水管长度，靠近排水口设置。</w:t>
      </w:r>
    </w:p>
    <w:p w14:paraId="461934AD">
      <w:pPr>
        <w:rPr>
          <w:rFonts w:hint="eastAsia"/>
          <w:color w:val="auto"/>
        </w:rPr>
      </w:pPr>
      <w:r>
        <w:rPr>
          <w:rFonts w:hint="eastAsia"/>
          <w:color w:val="auto"/>
        </w:rPr>
        <w:t>③施工现场办公区、生活区的生活用水应采用节水器具，节水器具配置率应达100%</w:t>
      </w:r>
    </w:p>
    <w:p w14:paraId="636FDFA1">
      <w:pPr>
        <w:rPr>
          <w:rFonts w:hint="eastAsia"/>
          <w:color w:val="auto"/>
        </w:rPr>
      </w:pPr>
      <w:r>
        <w:rPr>
          <w:rFonts w:hint="eastAsia"/>
          <w:color w:val="auto"/>
        </w:rPr>
        <w:t>a办公区及生活区全部采用节水器具，采用感应供水装置，淋浴间、开水间采用感应装置，节水器具配置率确保100%。</w:t>
      </w:r>
    </w:p>
    <w:p w14:paraId="2D984CD1">
      <w:pPr>
        <w:rPr>
          <w:rFonts w:hint="eastAsia"/>
          <w:color w:val="auto"/>
        </w:rPr>
      </w:pPr>
      <w:r>
        <w:rPr>
          <w:rFonts w:hint="eastAsia"/>
          <w:color w:val="auto"/>
        </w:rPr>
        <w:t>b做好节水器具的指标的对比，确保节水率达到15%。</w:t>
      </w:r>
    </w:p>
    <w:p w14:paraId="4EF221B7">
      <w:pPr>
        <w:rPr>
          <w:rFonts w:hint="eastAsia"/>
          <w:color w:val="auto"/>
        </w:rPr>
      </w:pPr>
      <w:r>
        <w:rPr>
          <w:rFonts w:hint="eastAsia"/>
          <w:color w:val="auto"/>
        </w:rPr>
        <w:t>④施工现场的生活用水与工程用水应分别计量</w:t>
      </w:r>
    </w:p>
    <w:p w14:paraId="5B1C5A33">
      <w:pPr>
        <w:rPr>
          <w:rFonts w:hint="eastAsia"/>
          <w:color w:val="auto"/>
        </w:rPr>
      </w:pPr>
      <w:r>
        <w:rPr>
          <w:rFonts w:hint="eastAsia"/>
          <w:color w:val="auto"/>
        </w:rPr>
        <w:t>施工用水及工程用水在支管位置设置水表进行计量，并定期与用水定额进行对照，分析，查漏补缺。</w:t>
      </w:r>
    </w:p>
    <w:p w14:paraId="3FB40AD3">
      <w:pPr>
        <w:rPr>
          <w:rFonts w:hint="eastAsia"/>
          <w:color w:val="auto"/>
        </w:rPr>
      </w:pPr>
      <w:r>
        <w:rPr>
          <w:rFonts w:hint="eastAsia"/>
          <w:color w:val="auto"/>
        </w:rPr>
        <w:t>⑤混凝土养护和砂浆搅拌用水应合理，应有节水措施</w:t>
      </w:r>
    </w:p>
    <w:p w14:paraId="747D1618">
      <w:pPr>
        <w:rPr>
          <w:rFonts w:hint="eastAsia"/>
          <w:color w:val="auto"/>
        </w:rPr>
      </w:pPr>
      <w:r>
        <w:rPr>
          <w:rFonts w:hint="eastAsia"/>
          <w:color w:val="auto"/>
        </w:rPr>
        <w:t>a混凝土养护利用覆膜养护与喷水养护相结合，竖向结构刷养护液。</w:t>
      </w:r>
    </w:p>
    <w:p w14:paraId="55AF410C">
      <w:pPr>
        <w:rPr>
          <w:rFonts w:hint="eastAsia"/>
          <w:color w:val="auto"/>
        </w:rPr>
      </w:pPr>
      <w:r>
        <w:rPr>
          <w:rFonts w:hint="eastAsia"/>
          <w:color w:val="auto"/>
        </w:rPr>
        <w:t>b砂浆搅拌用水配备能够量取用量的设备。</w:t>
      </w:r>
    </w:p>
    <w:p w14:paraId="39B93A84">
      <w:pPr>
        <w:rPr>
          <w:rFonts w:hint="eastAsia"/>
          <w:color w:val="auto"/>
        </w:rPr>
      </w:pPr>
      <w:r>
        <w:rPr>
          <w:rFonts w:hint="eastAsia"/>
          <w:color w:val="auto"/>
        </w:rPr>
        <w:t>⑥管网和用水器具不应有渗漏</w:t>
      </w:r>
    </w:p>
    <w:p w14:paraId="6D7E8DE4">
      <w:pPr>
        <w:rPr>
          <w:rFonts w:hint="eastAsia"/>
          <w:color w:val="auto"/>
        </w:rPr>
      </w:pPr>
      <w:r>
        <w:rPr>
          <w:rFonts w:hint="eastAsia"/>
          <w:color w:val="auto"/>
        </w:rPr>
        <w:t>（2）水资源利用</w:t>
      </w:r>
    </w:p>
    <w:p w14:paraId="6C7CBD4A">
      <w:pPr>
        <w:rPr>
          <w:rFonts w:hint="eastAsia"/>
          <w:color w:val="auto"/>
        </w:rPr>
      </w:pPr>
      <w:r>
        <w:rPr>
          <w:rFonts w:hint="eastAsia"/>
          <w:color w:val="auto"/>
        </w:rPr>
        <w:t>①基坑降水应存储使用</w:t>
      </w:r>
    </w:p>
    <w:p w14:paraId="60968214">
      <w:pPr>
        <w:rPr>
          <w:rFonts w:hint="eastAsia"/>
          <w:color w:val="auto"/>
        </w:rPr>
      </w:pPr>
      <w:r>
        <w:rPr>
          <w:rFonts w:hint="eastAsia"/>
          <w:color w:val="auto"/>
        </w:rPr>
        <w:t>a利用基坑降水用于洒水降尘、混凝土养护、车辆冲洗等。</w:t>
      </w:r>
    </w:p>
    <w:p w14:paraId="25206BFD">
      <w:pPr>
        <w:rPr>
          <w:rFonts w:hint="eastAsia"/>
          <w:color w:val="auto"/>
        </w:rPr>
      </w:pPr>
      <w:r>
        <w:rPr>
          <w:rFonts w:hint="eastAsia"/>
          <w:color w:val="auto"/>
        </w:rPr>
        <w:t>b多余的地下水采取回灌。</w:t>
      </w:r>
    </w:p>
    <w:p w14:paraId="6C7DA436">
      <w:pPr>
        <w:rPr>
          <w:rFonts w:hint="eastAsia"/>
          <w:color w:val="auto"/>
        </w:rPr>
      </w:pPr>
      <w:r>
        <w:rPr>
          <w:rFonts w:hint="eastAsia"/>
          <w:color w:val="auto"/>
        </w:rPr>
        <w:t>②冲洗现场机具、设备、车辆用水，应设立循环用水装置</w:t>
      </w:r>
    </w:p>
    <w:p w14:paraId="74B9665B">
      <w:pPr>
        <w:rPr>
          <w:rFonts w:hint="eastAsia"/>
          <w:color w:val="auto"/>
        </w:rPr>
      </w:pPr>
      <w:r>
        <w:rPr>
          <w:rFonts w:hint="eastAsia"/>
          <w:color w:val="auto"/>
        </w:rPr>
        <w:t>现场设置两套节水型车辆重新设备，并设置配套沉淀池，沉淀净化完成后循环利用。</w:t>
      </w:r>
    </w:p>
    <w:p w14:paraId="74331343">
      <w:pPr>
        <w:rPr>
          <w:rFonts w:hint="eastAsia"/>
          <w:color w:val="auto"/>
        </w:rPr>
      </w:pPr>
      <w:r>
        <w:rPr>
          <w:rFonts w:hint="eastAsia"/>
          <w:color w:val="auto"/>
        </w:rPr>
        <w:t>4、优选项</w:t>
      </w:r>
    </w:p>
    <w:p w14:paraId="35B53ABA">
      <w:pPr>
        <w:rPr>
          <w:rFonts w:hint="eastAsia"/>
          <w:color w:val="auto"/>
        </w:rPr>
      </w:pPr>
      <w:r>
        <w:rPr>
          <w:rFonts w:hint="eastAsia"/>
          <w:color w:val="auto"/>
        </w:rPr>
        <w:t>（1）现场应建立基坑降水再利用的收集处理系统</w:t>
      </w:r>
    </w:p>
    <w:p w14:paraId="7ADF1E38">
      <w:pPr>
        <w:rPr>
          <w:rFonts w:hint="eastAsia"/>
          <w:color w:val="auto"/>
        </w:rPr>
      </w:pPr>
      <w:r>
        <w:rPr>
          <w:rFonts w:hint="eastAsia"/>
          <w:color w:val="auto"/>
        </w:rPr>
        <w:t>①利用基坑降水用于洒水降尘、混凝土养护、车辆冲洗等。</w:t>
      </w:r>
    </w:p>
    <w:p w14:paraId="320E82A5">
      <w:pPr>
        <w:rPr>
          <w:rFonts w:hint="eastAsia"/>
          <w:color w:val="auto"/>
        </w:rPr>
      </w:pPr>
      <w:r>
        <w:rPr>
          <w:rFonts w:hint="eastAsia"/>
          <w:color w:val="auto"/>
        </w:rPr>
        <w:t>②基坑降水经净化处理后，用于消防用水及施工用水。</w:t>
      </w:r>
    </w:p>
    <w:p w14:paraId="0345B631">
      <w:pPr>
        <w:rPr>
          <w:rFonts w:hint="eastAsia"/>
          <w:color w:val="auto"/>
        </w:rPr>
      </w:pPr>
      <w:r>
        <w:rPr>
          <w:rFonts w:hint="eastAsia"/>
          <w:color w:val="auto"/>
        </w:rPr>
        <w:t>（2）现场应有雨水收集利用的设施</w:t>
      </w:r>
    </w:p>
    <w:p w14:paraId="7ECA80C8">
      <w:pPr>
        <w:rPr>
          <w:rFonts w:hint="eastAsia"/>
          <w:color w:val="auto"/>
        </w:rPr>
      </w:pPr>
      <w:r>
        <w:rPr>
          <w:rFonts w:hint="eastAsia"/>
          <w:color w:val="auto"/>
        </w:rPr>
        <w:t>施工现场及生活区设置雨水收集系统，对雨水进行收集，用于车辆冲洗，洒水降尘，厕所冲洗、绿化灌溉等。</w:t>
      </w:r>
    </w:p>
    <w:p w14:paraId="6BDFCD6C">
      <w:pPr>
        <w:rPr>
          <w:rFonts w:hint="eastAsia"/>
          <w:color w:val="auto"/>
        </w:rPr>
      </w:pPr>
      <w:r>
        <w:rPr>
          <w:rFonts w:hint="eastAsia"/>
          <w:color w:val="auto"/>
        </w:rPr>
        <w:t>（3）喷洒路面、绿化浇灌不应使用自来水</w:t>
      </w:r>
    </w:p>
    <w:p w14:paraId="24D89CBA">
      <w:pPr>
        <w:rPr>
          <w:rFonts w:hint="eastAsia"/>
          <w:color w:val="auto"/>
        </w:rPr>
      </w:pPr>
      <w:r>
        <w:rPr>
          <w:rFonts w:hint="eastAsia"/>
          <w:color w:val="auto"/>
        </w:rPr>
        <w:t>利用基坑降水及雨水进行喷洒路面，绿化灌溉。</w:t>
      </w:r>
    </w:p>
    <w:p w14:paraId="7BCC14E7">
      <w:pPr>
        <w:rPr>
          <w:rFonts w:hint="eastAsia"/>
          <w:color w:val="auto"/>
        </w:rPr>
      </w:pPr>
      <w:r>
        <w:rPr>
          <w:rFonts w:hint="eastAsia"/>
          <w:color w:val="auto"/>
        </w:rPr>
        <w:t>（4）生活、生产污水应处理并使用</w:t>
      </w:r>
    </w:p>
    <w:p w14:paraId="588ED76B">
      <w:pPr>
        <w:rPr>
          <w:rFonts w:hint="eastAsia"/>
          <w:color w:val="auto"/>
        </w:rPr>
      </w:pPr>
      <w:r>
        <w:rPr>
          <w:rFonts w:hint="eastAsia"/>
          <w:color w:val="auto"/>
        </w:rPr>
        <w:t>①生产污水与生活污水分开排放，生活污水按照要求设置化粪池、隔油池及沉淀池，生产污水按要求设置沉淀池。</w:t>
      </w:r>
    </w:p>
    <w:p w14:paraId="76BEDD1A">
      <w:pPr>
        <w:rPr>
          <w:rFonts w:hint="eastAsia"/>
          <w:color w:val="auto"/>
        </w:rPr>
      </w:pPr>
      <w:r>
        <w:rPr>
          <w:rFonts w:hint="eastAsia"/>
          <w:color w:val="auto"/>
        </w:rPr>
        <w:t>②生活污水及生产污水经三级沉淀，二级循环后进行使用。</w:t>
      </w:r>
    </w:p>
    <w:p w14:paraId="624EADAB">
      <w:pPr>
        <w:pStyle w:val="7"/>
        <w:rPr>
          <w:rFonts w:hint="eastAsia"/>
          <w:color w:val="auto"/>
        </w:rPr>
      </w:pPr>
      <w:bookmarkStart w:id="76" w:name="_Toc31656"/>
      <w:r>
        <w:rPr>
          <w:rFonts w:hint="eastAsia"/>
          <w:color w:val="auto"/>
        </w:rPr>
        <w:t>水资源利用节约措施</w:t>
      </w:r>
      <w:bookmarkEnd w:id="76"/>
    </w:p>
    <w:p w14:paraId="786C585F">
      <w:pPr>
        <w:pStyle w:val="6"/>
        <w:ind w:firstLine="480"/>
        <w:rPr>
          <w:rFonts w:hint="eastAsia"/>
          <w:color w:val="auto"/>
        </w:rPr>
      </w:pPr>
      <w:bookmarkStart w:id="77" w:name="_Toc296604953"/>
      <w:bookmarkEnd w:id="77"/>
      <w:r>
        <w:rPr>
          <w:rFonts w:hint="eastAsia"/>
          <w:color w:val="auto"/>
        </w:rPr>
        <w:t>1、提高水资源利用效率</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8454"/>
      </w:tblGrid>
      <w:tr w14:paraId="5B16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1D3FBA0F">
            <w:pPr>
              <w:pStyle w:val="6"/>
              <w:spacing w:after="0" w:line="240" w:lineRule="auto"/>
              <w:ind w:firstLine="0" w:firstLineChars="0"/>
              <w:jc w:val="center"/>
              <w:rPr>
                <w:rFonts w:hint="eastAsia"/>
                <w:color w:val="auto"/>
                <w:sz w:val="21"/>
                <w:szCs w:val="21"/>
              </w:rPr>
            </w:pPr>
            <w:r>
              <w:rPr>
                <w:rFonts w:hint="eastAsia"/>
                <w:color w:val="auto"/>
                <w:sz w:val="21"/>
                <w:szCs w:val="21"/>
              </w:rPr>
              <w:t>序号</w:t>
            </w:r>
          </w:p>
        </w:tc>
        <w:tc>
          <w:tcPr>
            <w:tcW w:w="4552" w:type="pct"/>
            <w:tcBorders>
              <w:top w:val="single" w:color="auto" w:sz="4" w:space="0"/>
              <w:left w:val="nil"/>
              <w:bottom w:val="single" w:color="auto" w:sz="4" w:space="0"/>
              <w:right w:val="single" w:color="auto" w:sz="4" w:space="0"/>
            </w:tcBorders>
            <w:noWrap w:val="0"/>
            <w:vAlign w:val="center"/>
          </w:tcPr>
          <w:p w14:paraId="12B1176C">
            <w:pPr>
              <w:pStyle w:val="6"/>
              <w:spacing w:after="0" w:line="240" w:lineRule="auto"/>
              <w:ind w:firstLine="0" w:firstLineChars="0"/>
              <w:jc w:val="center"/>
              <w:rPr>
                <w:rFonts w:hint="eastAsia"/>
                <w:color w:val="auto"/>
                <w:sz w:val="21"/>
                <w:szCs w:val="21"/>
              </w:rPr>
            </w:pPr>
            <w:r>
              <w:rPr>
                <w:rFonts w:hint="eastAsia"/>
                <w:color w:val="auto"/>
                <w:sz w:val="21"/>
                <w:szCs w:val="21"/>
              </w:rPr>
              <w:t>具体措施</w:t>
            </w:r>
          </w:p>
        </w:tc>
      </w:tr>
      <w:tr w14:paraId="6A18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296221A5">
            <w:pPr>
              <w:pStyle w:val="6"/>
              <w:spacing w:after="0" w:line="240" w:lineRule="auto"/>
              <w:ind w:firstLine="0" w:firstLineChars="0"/>
              <w:jc w:val="center"/>
              <w:rPr>
                <w:rFonts w:hint="eastAsia"/>
                <w:color w:val="auto"/>
                <w:sz w:val="21"/>
                <w:szCs w:val="21"/>
              </w:rPr>
            </w:pPr>
            <w:r>
              <w:rPr>
                <w:rFonts w:hint="eastAsia"/>
                <w:color w:val="auto"/>
                <w:sz w:val="21"/>
                <w:szCs w:val="21"/>
              </w:rPr>
              <w:t>1</w:t>
            </w:r>
          </w:p>
        </w:tc>
        <w:tc>
          <w:tcPr>
            <w:tcW w:w="4552" w:type="pct"/>
            <w:tcBorders>
              <w:top w:val="single" w:color="auto" w:sz="4" w:space="0"/>
              <w:left w:val="nil"/>
              <w:bottom w:val="single" w:color="auto" w:sz="4" w:space="0"/>
              <w:right w:val="single" w:color="auto" w:sz="4" w:space="0"/>
            </w:tcBorders>
            <w:noWrap w:val="0"/>
            <w:vAlign w:val="center"/>
          </w:tcPr>
          <w:p w14:paraId="55157B69">
            <w:pPr>
              <w:pStyle w:val="6"/>
              <w:spacing w:after="0" w:line="240" w:lineRule="auto"/>
              <w:ind w:firstLine="0" w:firstLineChars="0"/>
              <w:jc w:val="center"/>
              <w:rPr>
                <w:rFonts w:hint="eastAsia"/>
                <w:color w:val="auto"/>
                <w:sz w:val="21"/>
                <w:szCs w:val="21"/>
              </w:rPr>
            </w:pPr>
            <w:r>
              <w:rPr>
                <w:rFonts w:hint="eastAsia"/>
                <w:color w:val="auto"/>
                <w:sz w:val="21"/>
                <w:szCs w:val="21"/>
              </w:rPr>
              <w:t>整个施工现场生产、生活用水均在水源处设置明显的节约用水标识。</w:t>
            </w:r>
          </w:p>
        </w:tc>
      </w:tr>
      <w:tr w14:paraId="3D84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3F57C978">
            <w:pPr>
              <w:pStyle w:val="6"/>
              <w:spacing w:after="0" w:line="240" w:lineRule="auto"/>
              <w:ind w:firstLine="0" w:firstLineChars="0"/>
              <w:jc w:val="center"/>
              <w:rPr>
                <w:rFonts w:hint="eastAsia"/>
                <w:color w:val="auto"/>
                <w:sz w:val="21"/>
                <w:szCs w:val="21"/>
              </w:rPr>
            </w:pPr>
            <w:r>
              <w:rPr>
                <w:rFonts w:hint="eastAsia"/>
                <w:color w:val="auto"/>
                <w:sz w:val="21"/>
                <w:szCs w:val="21"/>
              </w:rPr>
              <w:t>2</w:t>
            </w:r>
          </w:p>
        </w:tc>
        <w:tc>
          <w:tcPr>
            <w:tcW w:w="4552" w:type="pct"/>
            <w:tcBorders>
              <w:top w:val="single" w:color="auto" w:sz="4" w:space="0"/>
              <w:left w:val="nil"/>
              <w:bottom w:val="single" w:color="auto" w:sz="4" w:space="0"/>
              <w:right w:val="single" w:color="auto" w:sz="4" w:space="0"/>
            </w:tcBorders>
            <w:noWrap w:val="0"/>
            <w:vAlign w:val="center"/>
          </w:tcPr>
          <w:p w14:paraId="5376ABF8">
            <w:pPr>
              <w:pStyle w:val="6"/>
              <w:spacing w:after="0" w:line="240" w:lineRule="auto"/>
              <w:ind w:firstLine="0" w:firstLineChars="0"/>
              <w:jc w:val="center"/>
              <w:rPr>
                <w:rFonts w:hint="eastAsia"/>
                <w:color w:val="auto"/>
                <w:sz w:val="21"/>
                <w:szCs w:val="21"/>
              </w:rPr>
            </w:pPr>
            <w:r>
              <w:rPr>
                <w:rFonts w:hint="eastAsia"/>
                <w:color w:val="auto"/>
                <w:sz w:val="21"/>
                <w:szCs w:val="21"/>
              </w:rPr>
              <w:t>施工现场供水管网根据用水量设计布置，使得整个现场管径合理、管路简捷，同时，采取有效措施减少管网和用水器具的漏损。</w:t>
            </w:r>
          </w:p>
        </w:tc>
      </w:tr>
      <w:tr w14:paraId="2F14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1A8E8AAD">
            <w:pPr>
              <w:pStyle w:val="6"/>
              <w:spacing w:after="0" w:line="240" w:lineRule="auto"/>
              <w:ind w:firstLine="0" w:firstLineChars="0"/>
              <w:jc w:val="center"/>
              <w:rPr>
                <w:rFonts w:hint="eastAsia"/>
                <w:color w:val="auto"/>
                <w:sz w:val="21"/>
                <w:szCs w:val="21"/>
              </w:rPr>
            </w:pPr>
            <w:r>
              <w:rPr>
                <w:rFonts w:hint="eastAsia"/>
                <w:color w:val="auto"/>
                <w:sz w:val="21"/>
                <w:szCs w:val="21"/>
              </w:rPr>
              <w:t>3</w:t>
            </w:r>
          </w:p>
        </w:tc>
        <w:tc>
          <w:tcPr>
            <w:tcW w:w="4552" w:type="pct"/>
            <w:tcBorders>
              <w:top w:val="single" w:color="auto" w:sz="4" w:space="0"/>
              <w:left w:val="nil"/>
              <w:bottom w:val="single" w:color="auto" w:sz="4" w:space="0"/>
              <w:right w:val="single" w:color="auto" w:sz="4" w:space="0"/>
            </w:tcBorders>
            <w:noWrap w:val="0"/>
            <w:vAlign w:val="center"/>
          </w:tcPr>
          <w:p w14:paraId="16A7CA08">
            <w:pPr>
              <w:pStyle w:val="6"/>
              <w:spacing w:after="0" w:line="240" w:lineRule="auto"/>
              <w:ind w:firstLine="0" w:firstLineChars="0"/>
              <w:jc w:val="center"/>
              <w:rPr>
                <w:rFonts w:hint="eastAsia"/>
                <w:color w:val="auto"/>
                <w:sz w:val="21"/>
                <w:szCs w:val="21"/>
              </w:rPr>
            </w:pPr>
            <w:r>
              <w:rPr>
                <w:rFonts w:hint="eastAsia"/>
                <w:color w:val="auto"/>
                <w:sz w:val="21"/>
                <w:szCs w:val="21"/>
              </w:rPr>
              <w:t>现场主要机具、设备、车辆冲洗用水设立循环用水装置。施工现场办公区、生活区的生活用水采用节水系统和节水器具，提高节水器具配置比率，项目临时用水使用节水型产品，安装计量装置，采取针对性的节水措施。</w:t>
            </w:r>
          </w:p>
        </w:tc>
      </w:tr>
      <w:tr w14:paraId="7F24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78B9505A">
            <w:pPr>
              <w:pStyle w:val="6"/>
              <w:spacing w:after="0" w:line="240" w:lineRule="auto"/>
              <w:ind w:firstLine="0" w:firstLineChars="0"/>
              <w:jc w:val="center"/>
              <w:rPr>
                <w:rFonts w:hint="eastAsia"/>
                <w:color w:val="auto"/>
                <w:sz w:val="21"/>
                <w:szCs w:val="21"/>
              </w:rPr>
            </w:pPr>
            <w:r>
              <w:rPr>
                <w:rFonts w:hint="eastAsia"/>
                <w:color w:val="auto"/>
                <w:sz w:val="21"/>
                <w:szCs w:val="21"/>
              </w:rPr>
              <w:t>4</w:t>
            </w:r>
          </w:p>
        </w:tc>
        <w:tc>
          <w:tcPr>
            <w:tcW w:w="4552" w:type="pct"/>
            <w:tcBorders>
              <w:top w:val="single" w:color="auto" w:sz="4" w:space="0"/>
              <w:left w:val="nil"/>
              <w:bottom w:val="single" w:color="auto" w:sz="4" w:space="0"/>
              <w:right w:val="single" w:color="auto" w:sz="4" w:space="0"/>
            </w:tcBorders>
            <w:noWrap w:val="0"/>
            <w:vAlign w:val="center"/>
          </w:tcPr>
          <w:p w14:paraId="3E93364E">
            <w:pPr>
              <w:pStyle w:val="6"/>
              <w:spacing w:after="0" w:line="240" w:lineRule="auto"/>
              <w:ind w:firstLine="0" w:firstLineChars="0"/>
              <w:jc w:val="center"/>
              <w:rPr>
                <w:rFonts w:hint="eastAsia"/>
                <w:color w:val="auto"/>
                <w:sz w:val="21"/>
                <w:szCs w:val="21"/>
              </w:rPr>
            </w:pPr>
            <w:r>
              <w:rPr>
                <w:rFonts w:hint="eastAsia"/>
                <w:color w:val="auto"/>
                <w:sz w:val="21"/>
                <w:szCs w:val="21"/>
              </w:rPr>
              <w:t>加强用水管理，由办公室设专人每日检查水龙头，杜绝冒水、滴水、漏水现象。</w:t>
            </w:r>
          </w:p>
        </w:tc>
      </w:tr>
      <w:tr w14:paraId="3C97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3B845014">
            <w:pPr>
              <w:pStyle w:val="6"/>
              <w:spacing w:after="0" w:line="240" w:lineRule="auto"/>
              <w:ind w:firstLine="0" w:firstLineChars="0"/>
              <w:jc w:val="center"/>
              <w:rPr>
                <w:rFonts w:hint="eastAsia"/>
                <w:color w:val="auto"/>
                <w:sz w:val="21"/>
                <w:szCs w:val="21"/>
              </w:rPr>
            </w:pPr>
            <w:r>
              <w:rPr>
                <w:rFonts w:hint="eastAsia"/>
                <w:color w:val="auto"/>
                <w:sz w:val="21"/>
                <w:szCs w:val="21"/>
              </w:rPr>
              <w:t>5</w:t>
            </w:r>
          </w:p>
        </w:tc>
        <w:tc>
          <w:tcPr>
            <w:tcW w:w="4552" w:type="pct"/>
            <w:tcBorders>
              <w:top w:val="single" w:color="auto" w:sz="4" w:space="0"/>
              <w:left w:val="nil"/>
              <w:bottom w:val="single" w:color="auto" w:sz="4" w:space="0"/>
              <w:right w:val="single" w:color="auto" w:sz="4" w:space="0"/>
            </w:tcBorders>
            <w:noWrap w:val="0"/>
            <w:vAlign w:val="center"/>
          </w:tcPr>
          <w:p w14:paraId="2D51EEF0">
            <w:pPr>
              <w:pStyle w:val="6"/>
              <w:spacing w:after="0" w:line="240" w:lineRule="auto"/>
              <w:ind w:firstLine="0" w:firstLineChars="0"/>
              <w:jc w:val="center"/>
              <w:rPr>
                <w:rFonts w:hint="eastAsia"/>
                <w:color w:val="auto"/>
                <w:sz w:val="21"/>
                <w:szCs w:val="21"/>
              </w:rPr>
            </w:pPr>
            <w:r>
              <w:rPr>
                <w:rFonts w:hint="eastAsia"/>
                <w:color w:val="auto"/>
                <w:sz w:val="21"/>
                <w:szCs w:val="21"/>
              </w:rPr>
              <w:t>主体施工过程中，施工现场设置绿化带，种植耐旱类花草类植物，减少现场浇水量。</w:t>
            </w:r>
          </w:p>
        </w:tc>
      </w:tr>
      <w:tr w14:paraId="48C2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77D4DDDB">
            <w:pPr>
              <w:pStyle w:val="6"/>
              <w:spacing w:after="0" w:line="240" w:lineRule="auto"/>
              <w:ind w:firstLine="0" w:firstLineChars="0"/>
              <w:jc w:val="center"/>
              <w:rPr>
                <w:rFonts w:hint="eastAsia"/>
                <w:color w:val="auto"/>
                <w:sz w:val="21"/>
                <w:szCs w:val="21"/>
              </w:rPr>
            </w:pPr>
            <w:r>
              <w:rPr>
                <w:rFonts w:hint="eastAsia"/>
                <w:color w:val="auto"/>
                <w:sz w:val="21"/>
                <w:szCs w:val="21"/>
              </w:rPr>
              <w:t>6</w:t>
            </w:r>
          </w:p>
        </w:tc>
        <w:tc>
          <w:tcPr>
            <w:tcW w:w="4552" w:type="pct"/>
            <w:tcBorders>
              <w:top w:val="single" w:color="auto" w:sz="4" w:space="0"/>
              <w:left w:val="nil"/>
              <w:bottom w:val="single" w:color="auto" w:sz="4" w:space="0"/>
              <w:right w:val="single" w:color="auto" w:sz="4" w:space="0"/>
            </w:tcBorders>
            <w:noWrap w:val="0"/>
            <w:vAlign w:val="center"/>
          </w:tcPr>
          <w:p w14:paraId="2A42DFC6">
            <w:pPr>
              <w:pStyle w:val="6"/>
              <w:spacing w:after="0" w:line="240" w:lineRule="auto"/>
              <w:ind w:firstLine="0" w:firstLineChars="0"/>
              <w:jc w:val="center"/>
              <w:rPr>
                <w:rFonts w:hint="eastAsia"/>
                <w:color w:val="auto"/>
                <w:sz w:val="21"/>
                <w:szCs w:val="21"/>
              </w:rPr>
            </w:pPr>
            <w:r>
              <w:rPr>
                <w:rFonts w:hint="eastAsia"/>
                <w:color w:val="auto"/>
                <w:sz w:val="21"/>
                <w:szCs w:val="21"/>
              </w:rPr>
              <w:t>强调节约用水理念，如办公室每日喝剩的饮用水用于浇花等。</w:t>
            </w:r>
          </w:p>
        </w:tc>
      </w:tr>
      <w:tr w14:paraId="0A94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67F48EAA">
            <w:pPr>
              <w:pStyle w:val="6"/>
              <w:spacing w:after="0" w:line="240" w:lineRule="auto"/>
              <w:ind w:firstLine="0" w:firstLineChars="0"/>
              <w:jc w:val="center"/>
              <w:rPr>
                <w:rFonts w:hint="eastAsia"/>
                <w:color w:val="auto"/>
                <w:sz w:val="21"/>
                <w:szCs w:val="21"/>
              </w:rPr>
            </w:pPr>
            <w:r>
              <w:rPr>
                <w:rFonts w:hint="eastAsia"/>
                <w:color w:val="auto"/>
                <w:sz w:val="21"/>
                <w:szCs w:val="21"/>
              </w:rPr>
              <w:t>7</w:t>
            </w:r>
          </w:p>
        </w:tc>
        <w:tc>
          <w:tcPr>
            <w:tcW w:w="4552" w:type="pct"/>
            <w:tcBorders>
              <w:top w:val="single" w:color="auto" w:sz="4" w:space="0"/>
              <w:left w:val="nil"/>
              <w:bottom w:val="single" w:color="auto" w:sz="4" w:space="0"/>
              <w:right w:val="single" w:color="auto" w:sz="4" w:space="0"/>
            </w:tcBorders>
            <w:noWrap w:val="0"/>
            <w:vAlign w:val="center"/>
          </w:tcPr>
          <w:p w14:paraId="3FA8399F">
            <w:pPr>
              <w:pStyle w:val="6"/>
              <w:spacing w:after="0" w:line="240" w:lineRule="auto"/>
              <w:ind w:firstLine="0" w:firstLineChars="0"/>
              <w:jc w:val="center"/>
              <w:rPr>
                <w:rFonts w:hint="eastAsia"/>
                <w:color w:val="auto"/>
                <w:sz w:val="21"/>
                <w:szCs w:val="21"/>
              </w:rPr>
            </w:pPr>
            <w:r>
              <w:rPr>
                <w:rFonts w:hint="eastAsia"/>
                <w:color w:val="auto"/>
                <w:sz w:val="21"/>
                <w:szCs w:val="21"/>
              </w:rPr>
              <w:t>所有办公区、生活区厕所安装手动节水型冲水箱。</w:t>
            </w:r>
          </w:p>
        </w:tc>
      </w:tr>
    </w:tbl>
    <w:p w14:paraId="1BF1A1F4">
      <w:pPr>
        <w:pStyle w:val="6"/>
        <w:ind w:firstLine="480"/>
        <w:rPr>
          <w:rFonts w:hint="eastAsia"/>
          <w:color w:val="auto"/>
        </w:rPr>
      </w:pPr>
      <w:bookmarkStart w:id="78" w:name="_Toc165099996"/>
      <w:bookmarkEnd w:id="78"/>
      <w:r>
        <w:rPr>
          <w:rFonts w:hint="eastAsia"/>
          <w:color w:val="auto"/>
        </w:rPr>
        <w:t>2、非传统水源利用</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8452"/>
      </w:tblGrid>
      <w:tr w14:paraId="2ACE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DC84407">
            <w:pPr>
              <w:pStyle w:val="6"/>
              <w:spacing w:after="0" w:line="240" w:lineRule="auto"/>
              <w:ind w:firstLine="0" w:firstLineChars="0"/>
              <w:jc w:val="center"/>
              <w:rPr>
                <w:rFonts w:hint="eastAsia"/>
                <w:color w:val="auto"/>
                <w:sz w:val="21"/>
                <w:szCs w:val="21"/>
              </w:rPr>
            </w:pPr>
            <w:r>
              <w:rPr>
                <w:rFonts w:hint="eastAsia"/>
                <w:color w:val="auto"/>
                <w:sz w:val="21"/>
                <w:szCs w:val="21"/>
              </w:rPr>
              <w:t>序号</w:t>
            </w:r>
          </w:p>
        </w:tc>
        <w:tc>
          <w:tcPr>
            <w:tcW w:w="4551" w:type="pct"/>
            <w:tcBorders>
              <w:top w:val="single" w:color="auto" w:sz="4" w:space="0"/>
              <w:left w:val="nil"/>
              <w:bottom w:val="single" w:color="auto" w:sz="4" w:space="0"/>
              <w:right w:val="single" w:color="auto" w:sz="4" w:space="0"/>
            </w:tcBorders>
            <w:noWrap w:val="0"/>
            <w:vAlign w:val="center"/>
          </w:tcPr>
          <w:p w14:paraId="21BD5008">
            <w:pPr>
              <w:pStyle w:val="6"/>
              <w:spacing w:after="0" w:line="240" w:lineRule="auto"/>
              <w:ind w:firstLine="0" w:firstLineChars="0"/>
              <w:jc w:val="center"/>
              <w:rPr>
                <w:rFonts w:hint="eastAsia"/>
                <w:color w:val="auto"/>
                <w:sz w:val="21"/>
                <w:szCs w:val="21"/>
              </w:rPr>
            </w:pPr>
            <w:r>
              <w:rPr>
                <w:rFonts w:hint="eastAsia"/>
                <w:color w:val="auto"/>
                <w:sz w:val="21"/>
                <w:szCs w:val="21"/>
              </w:rPr>
              <w:t>具体措施</w:t>
            </w:r>
          </w:p>
        </w:tc>
      </w:tr>
      <w:tr w14:paraId="0C1D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190955C">
            <w:pPr>
              <w:pStyle w:val="6"/>
              <w:spacing w:after="0" w:line="240" w:lineRule="auto"/>
              <w:ind w:firstLine="0" w:firstLineChars="0"/>
              <w:jc w:val="center"/>
              <w:rPr>
                <w:rFonts w:hint="eastAsia"/>
                <w:color w:val="auto"/>
                <w:sz w:val="21"/>
                <w:szCs w:val="21"/>
              </w:rPr>
            </w:pPr>
            <w:r>
              <w:rPr>
                <w:rFonts w:hint="eastAsia"/>
                <w:color w:val="auto"/>
                <w:sz w:val="21"/>
                <w:szCs w:val="21"/>
              </w:rPr>
              <w:t>1</w:t>
            </w:r>
          </w:p>
        </w:tc>
        <w:tc>
          <w:tcPr>
            <w:tcW w:w="4551" w:type="pct"/>
            <w:tcBorders>
              <w:top w:val="single" w:color="auto" w:sz="4" w:space="0"/>
              <w:left w:val="nil"/>
              <w:bottom w:val="single" w:color="auto" w:sz="4" w:space="0"/>
              <w:right w:val="single" w:color="auto" w:sz="4" w:space="0"/>
            </w:tcBorders>
            <w:noWrap w:val="0"/>
            <w:vAlign w:val="center"/>
          </w:tcPr>
          <w:p w14:paraId="4EF1EA30">
            <w:pPr>
              <w:pStyle w:val="6"/>
              <w:spacing w:after="0" w:line="240" w:lineRule="auto"/>
              <w:ind w:firstLine="0" w:firstLineChars="0"/>
              <w:jc w:val="center"/>
              <w:rPr>
                <w:rFonts w:hint="eastAsia"/>
                <w:color w:val="auto"/>
                <w:sz w:val="21"/>
                <w:szCs w:val="21"/>
              </w:rPr>
            </w:pPr>
            <w:r>
              <w:rPr>
                <w:rFonts w:hint="eastAsia"/>
                <w:color w:val="auto"/>
                <w:sz w:val="21"/>
                <w:szCs w:val="21"/>
              </w:rPr>
              <w:t>收集降排水、雨水等用于降尘、洗车等，减少传统水使用。</w:t>
            </w:r>
          </w:p>
        </w:tc>
      </w:tr>
      <w:tr w14:paraId="2A45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5C0C06E">
            <w:pPr>
              <w:pStyle w:val="6"/>
              <w:spacing w:after="0" w:line="240" w:lineRule="auto"/>
              <w:ind w:firstLine="0" w:firstLineChars="0"/>
              <w:jc w:val="center"/>
              <w:rPr>
                <w:rFonts w:hint="eastAsia"/>
                <w:color w:val="auto"/>
                <w:sz w:val="21"/>
                <w:szCs w:val="21"/>
              </w:rPr>
            </w:pPr>
            <w:r>
              <w:rPr>
                <w:rFonts w:hint="eastAsia"/>
                <w:color w:val="auto"/>
                <w:sz w:val="21"/>
                <w:szCs w:val="21"/>
              </w:rPr>
              <w:t>2</w:t>
            </w:r>
          </w:p>
        </w:tc>
        <w:tc>
          <w:tcPr>
            <w:tcW w:w="4551" w:type="pct"/>
            <w:tcBorders>
              <w:top w:val="single" w:color="auto" w:sz="4" w:space="0"/>
              <w:left w:val="nil"/>
              <w:bottom w:val="single" w:color="auto" w:sz="4" w:space="0"/>
              <w:right w:val="single" w:color="auto" w:sz="4" w:space="0"/>
            </w:tcBorders>
            <w:noWrap w:val="0"/>
            <w:vAlign w:val="center"/>
          </w:tcPr>
          <w:p w14:paraId="1769F751">
            <w:pPr>
              <w:pStyle w:val="6"/>
              <w:spacing w:after="0" w:line="240" w:lineRule="auto"/>
              <w:ind w:firstLine="0" w:firstLineChars="0"/>
              <w:jc w:val="center"/>
              <w:rPr>
                <w:rFonts w:hint="eastAsia"/>
                <w:color w:val="auto"/>
                <w:sz w:val="21"/>
                <w:szCs w:val="21"/>
              </w:rPr>
            </w:pPr>
            <w:r>
              <w:rPr>
                <w:rFonts w:hint="eastAsia"/>
                <w:color w:val="auto"/>
                <w:sz w:val="21"/>
                <w:szCs w:val="21"/>
              </w:rPr>
              <w:t>施工现场四周布置排水系统，现场各设置多个相应的集水池，雨水经三级沉淀过滤后进入集水池，用以喷洒路面、绿化浇灌等，使水资源得到梯级循环利用。</w:t>
            </w:r>
          </w:p>
        </w:tc>
      </w:tr>
      <w:tr w14:paraId="0C89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27D7C6E">
            <w:pPr>
              <w:pStyle w:val="6"/>
              <w:spacing w:after="0" w:line="240" w:lineRule="auto"/>
              <w:ind w:firstLine="0" w:firstLineChars="0"/>
              <w:jc w:val="center"/>
              <w:rPr>
                <w:rFonts w:hint="eastAsia"/>
                <w:color w:val="auto"/>
                <w:sz w:val="21"/>
                <w:szCs w:val="21"/>
              </w:rPr>
            </w:pPr>
            <w:r>
              <w:rPr>
                <w:rFonts w:hint="eastAsia"/>
                <w:color w:val="auto"/>
                <w:sz w:val="21"/>
                <w:szCs w:val="21"/>
              </w:rPr>
              <w:t>3</w:t>
            </w:r>
          </w:p>
        </w:tc>
        <w:tc>
          <w:tcPr>
            <w:tcW w:w="4551" w:type="pct"/>
            <w:tcBorders>
              <w:top w:val="single" w:color="auto" w:sz="4" w:space="0"/>
              <w:left w:val="nil"/>
              <w:bottom w:val="single" w:color="auto" w:sz="4" w:space="0"/>
              <w:right w:val="single" w:color="auto" w:sz="4" w:space="0"/>
            </w:tcBorders>
            <w:noWrap w:val="0"/>
            <w:vAlign w:val="center"/>
          </w:tcPr>
          <w:p w14:paraId="6CAA1C98">
            <w:pPr>
              <w:pStyle w:val="6"/>
              <w:spacing w:after="0" w:line="240" w:lineRule="auto"/>
              <w:ind w:firstLine="0" w:firstLineChars="0"/>
              <w:jc w:val="center"/>
              <w:rPr>
                <w:rFonts w:hint="eastAsia"/>
                <w:color w:val="auto"/>
                <w:sz w:val="21"/>
                <w:szCs w:val="21"/>
              </w:rPr>
            </w:pPr>
            <w:r>
              <w:rPr>
                <w:rFonts w:hint="eastAsia"/>
                <w:color w:val="auto"/>
                <w:sz w:val="21"/>
                <w:szCs w:val="21"/>
              </w:rPr>
              <w:t>在生活区厕所的旁边设置沉淀池，将生活区的生活用水引流到此，经过沉淀后，通过水泵与厕所的卫生器具连接，将生活用水再次利用。</w:t>
            </w:r>
          </w:p>
        </w:tc>
      </w:tr>
    </w:tbl>
    <w:p w14:paraId="2CBE26F1">
      <w:pPr>
        <w:pStyle w:val="6"/>
        <w:ind w:firstLine="480"/>
        <w:rPr>
          <w:rFonts w:hint="eastAsia"/>
          <w:color w:val="auto"/>
        </w:rPr>
      </w:pPr>
      <w:r>
        <w:rPr>
          <w:rFonts w:hint="eastAsia"/>
          <w:color w:val="auto"/>
        </w:rPr>
        <w:t>3、用水安全</w:t>
      </w:r>
    </w:p>
    <w:p w14:paraId="1F4D5309">
      <w:pPr>
        <w:pStyle w:val="6"/>
        <w:ind w:firstLine="480"/>
        <w:rPr>
          <w:rFonts w:hint="eastAsia"/>
          <w:color w:val="auto"/>
        </w:rPr>
      </w:pPr>
      <w:r>
        <w:rPr>
          <w:rFonts w:hint="eastAsia"/>
          <w:color w:val="auto"/>
        </w:rPr>
        <w:t>在非传统水源和现场循环再利用水的使用过程中，我司将制定有效的水质检测与卫生保障措施，确保避免对人体健康、工程质量以及周围环境产生不良影响。</w:t>
      </w:r>
    </w:p>
    <w:p w14:paraId="1339C09E">
      <w:pPr>
        <w:pStyle w:val="4"/>
        <w:rPr>
          <w:rFonts w:hint="eastAsia"/>
          <w:color w:val="auto"/>
        </w:rPr>
      </w:pPr>
      <w:bookmarkStart w:id="79" w:name="_Toc5495"/>
      <w:r>
        <w:rPr>
          <w:rFonts w:hint="eastAsia"/>
          <w:color w:val="auto"/>
        </w:rPr>
        <w:t>节能与能源利用</w:t>
      </w:r>
      <w:bookmarkEnd w:id="79"/>
    </w:p>
    <w:p w14:paraId="4C0CFD03">
      <w:pPr>
        <w:pStyle w:val="7"/>
        <w:ind w:firstLine="0"/>
        <w:rPr>
          <w:rFonts w:hint="default" w:eastAsia="宋体"/>
          <w:color w:val="auto"/>
          <w:lang w:val="en-US" w:eastAsia="zh-CN"/>
        </w:rPr>
      </w:pPr>
      <w:bookmarkStart w:id="80" w:name="_Toc29333"/>
      <w:r>
        <w:rPr>
          <w:rFonts w:hint="eastAsia"/>
          <w:color w:val="auto"/>
        </w:rPr>
        <w:t>节能与能源利用</w:t>
      </w:r>
      <w:r>
        <w:rPr>
          <w:rFonts w:hint="eastAsia"/>
          <w:color w:val="auto"/>
          <w:lang w:val="en-US" w:eastAsia="zh-CN"/>
        </w:rPr>
        <w:t>保证措施</w:t>
      </w:r>
      <w:bookmarkEnd w:id="80"/>
    </w:p>
    <w:p w14:paraId="61801229">
      <w:pPr>
        <w:rPr>
          <w:rFonts w:hint="eastAsia"/>
          <w:color w:val="auto"/>
        </w:rPr>
      </w:pPr>
      <w:r>
        <w:rPr>
          <w:rFonts w:hint="eastAsia"/>
          <w:color w:val="auto"/>
        </w:rPr>
        <w:t>1、制度与指标</w:t>
      </w:r>
    </w:p>
    <w:p w14:paraId="6D431254">
      <w:pPr>
        <w:rPr>
          <w:rFonts w:hint="eastAsia"/>
          <w:color w:val="auto"/>
        </w:rPr>
      </w:pPr>
      <w:r>
        <w:rPr>
          <w:rFonts w:hint="eastAsia"/>
          <w:color w:val="auto"/>
        </w:rPr>
        <w:t>（1）施工现场用电采取分区计量的原则，大型机械（塔吊、施工电梯、钢筋加工棚等）计量电表7块：办公、生活区计量电表3块。</w:t>
      </w:r>
    </w:p>
    <w:p w14:paraId="42D966B8">
      <w:pPr>
        <w:rPr>
          <w:rFonts w:hint="eastAsia"/>
          <w:color w:val="auto"/>
        </w:rPr>
      </w:pPr>
      <w:r>
        <w:rPr>
          <w:rFonts w:hint="eastAsia"/>
          <w:color w:val="auto"/>
        </w:rPr>
        <w:t>（2）临时设施采用节能材料，墙体、屋面使用隔热性能好的材料，对办公室进行合理化布置，规定夏季室外温度高于30°C方能开启空调，空调设定温度不得低于26°C；办公室设备及照明灯具在下班后及时关闭；贴节电标语、采用节能型灯具。</w:t>
      </w:r>
    </w:p>
    <w:p w14:paraId="5BA00178">
      <w:pPr>
        <w:rPr>
          <w:rFonts w:hint="eastAsia"/>
          <w:color w:val="auto"/>
        </w:rPr>
      </w:pPr>
      <w:r>
        <w:rPr>
          <w:rFonts w:hint="eastAsia"/>
          <w:color w:val="auto"/>
        </w:rPr>
        <w:t>（3）加强生产作业区设备的保养，生产作业区设备使用完毕后及时关闭。做好维修保养工作，使机械设备保持低耗、高效状态。</w:t>
      </w:r>
    </w:p>
    <w:p w14:paraId="5AB0D61F">
      <w:pPr>
        <w:rPr>
          <w:rFonts w:hint="eastAsia"/>
          <w:color w:val="auto"/>
        </w:rPr>
      </w:pPr>
      <w:r>
        <w:rPr>
          <w:rFonts w:hint="eastAsia"/>
          <w:color w:val="auto"/>
        </w:rPr>
        <w:t>（4）合理安排施工顺序、工作面，以减少作业区域的机具数量。安排施工工艺时，优先考虑耗用电能低的或其它能耗低的，施工现场分别设定生产、生活、办公和施工设备的用电控制指标，定期进行计量、核算、对比分析，并有预防与纠正措施。</w:t>
      </w:r>
    </w:p>
    <w:p w14:paraId="2344F16A">
      <w:pPr>
        <w:rPr>
          <w:rFonts w:hint="eastAsia"/>
          <w:color w:val="auto"/>
        </w:rPr>
      </w:pPr>
      <w:r>
        <w:rPr>
          <w:rFonts w:hint="eastAsia"/>
          <w:color w:val="auto"/>
        </w:rPr>
        <w:t>（5）建立施工机械设备管理制度，开展用电计量，完善设备档案，及时做好维修保养工作，使机械设备保持低耗、高效的状态。</w:t>
      </w:r>
    </w:p>
    <w:p w14:paraId="5F3CDD15">
      <w:pPr>
        <w:rPr>
          <w:rFonts w:hint="eastAsia"/>
          <w:color w:val="auto"/>
        </w:rPr>
      </w:pPr>
      <w:r>
        <w:rPr>
          <w:rFonts w:hint="eastAsia"/>
          <w:color w:val="auto"/>
        </w:rPr>
        <w:t>（6）选择功率与负载相匹配的施工机械设备，避免大功率施工机械设备低负载长时间运行，机电安装采用节电型机械设备，效率高的手持电动工具等，以利于节电。</w:t>
      </w:r>
    </w:p>
    <w:p w14:paraId="6ECA9FAE">
      <w:pPr>
        <w:rPr>
          <w:rFonts w:hint="eastAsia"/>
          <w:color w:val="auto"/>
        </w:rPr>
      </w:pPr>
      <w:r>
        <w:rPr>
          <w:rFonts w:hint="eastAsia"/>
          <w:color w:val="auto"/>
        </w:rPr>
        <w:t>（7）统一安排各施工阶段（包括：基础、地下结构和地上现浇层施工阶段，预制构件吊装施工阶段等）所需的主要垂直运输机械，减少大型机械的投入。</w:t>
      </w:r>
    </w:p>
    <w:p w14:paraId="6887A9CF">
      <w:pPr>
        <w:rPr>
          <w:rFonts w:hint="eastAsia"/>
          <w:color w:val="auto"/>
        </w:rPr>
      </w:pPr>
      <w:r>
        <w:rPr>
          <w:rFonts w:hint="eastAsia"/>
          <w:color w:val="auto"/>
        </w:rPr>
        <w:t>（8）预制构件的加工、进场，应按照构件安装的顺序随安装随进场，减少现场存放场地，降低二次倒运费用。</w:t>
      </w:r>
    </w:p>
    <w:p w14:paraId="205CB2D5">
      <w:pPr>
        <w:rPr>
          <w:rFonts w:hint="eastAsia"/>
          <w:color w:val="auto"/>
        </w:rPr>
      </w:pPr>
      <w:r>
        <w:rPr>
          <w:rFonts w:hint="eastAsia"/>
          <w:color w:val="auto"/>
        </w:rPr>
        <w:t>（9）施工现场的照明设施宜采用声、光组合控制技术的低能耗LED灯，照度设计不应超过最低照度的20%。</w:t>
      </w:r>
    </w:p>
    <w:p w14:paraId="41332090">
      <w:pPr>
        <w:rPr>
          <w:rFonts w:hint="eastAsia"/>
          <w:color w:val="auto"/>
        </w:rPr>
      </w:pPr>
      <w:r>
        <w:rPr>
          <w:rFonts w:hint="eastAsia"/>
          <w:color w:val="auto"/>
        </w:rPr>
        <w:t>2、控制项</w:t>
      </w:r>
    </w:p>
    <w:p w14:paraId="6CED21C8">
      <w:pPr>
        <w:rPr>
          <w:rFonts w:hint="eastAsia"/>
          <w:color w:val="auto"/>
        </w:rPr>
      </w:pPr>
      <w:r>
        <w:rPr>
          <w:rFonts w:hint="eastAsia"/>
          <w:color w:val="auto"/>
        </w:rPr>
        <w:t>（1）对现场的生产、生活、办公和主要耗能施工设备应有节能的控制措施</w:t>
      </w:r>
    </w:p>
    <w:p w14:paraId="2A53DA37">
      <w:pPr>
        <w:rPr>
          <w:rFonts w:hint="eastAsia"/>
          <w:color w:val="auto"/>
        </w:rPr>
      </w:pPr>
      <w:r>
        <w:rPr>
          <w:rFonts w:hint="eastAsia"/>
          <w:color w:val="auto"/>
        </w:rPr>
        <w:t>①工程开工后，制订合理施工能耗指标，对现场用电量、用水量、用油量建立消耗台帐，指定责任人，每月一次填写台帐，每季度考核一次节能效果，并有预防与纠正措施。</w:t>
      </w:r>
    </w:p>
    <w:p w14:paraId="6B7A009F">
      <w:pPr>
        <w:rPr>
          <w:rFonts w:hint="eastAsia"/>
          <w:color w:val="auto"/>
        </w:rPr>
      </w:pPr>
      <w:r>
        <w:rPr>
          <w:rFonts w:hint="eastAsia"/>
          <w:color w:val="auto"/>
        </w:rPr>
        <w:t>②现场办公室采用敞开的办公格局，以自然通风、自然光照明为主，缩短空调机使用时间。办公区及生活区照明采用新型节能荧光灯，并在室内设置提示标识。办公和生活用房合理配置采暖设施、空调、风扇数量，并控制使用时间。</w:t>
      </w:r>
    </w:p>
    <w:p w14:paraId="087E3422">
      <w:pPr>
        <w:rPr>
          <w:rFonts w:hint="eastAsia"/>
          <w:color w:val="auto"/>
        </w:rPr>
      </w:pPr>
      <w:r>
        <w:rPr>
          <w:rFonts w:hint="eastAsia"/>
          <w:color w:val="auto"/>
        </w:rPr>
        <w:t>（2）对主要耗能施工设备应定期进行耗能计量核算</w:t>
      </w:r>
    </w:p>
    <w:p w14:paraId="710D3C2D">
      <w:pPr>
        <w:rPr>
          <w:rFonts w:hint="eastAsia"/>
          <w:color w:val="auto"/>
        </w:rPr>
      </w:pPr>
      <w:r>
        <w:rPr>
          <w:rFonts w:hint="eastAsia"/>
          <w:color w:val="auto"/>
        </w:rPr>
        <w:t>对耗能设备进行分类，定期进行检查，并于耗能指标进行比较，进行核算。</w:t>
      </w:r>
    </w:p>
    <w:p w14:paraId="26971E52">
      <w:pPr>
        <w:rPr>
          <w:rFonts w:hint="eastAsia"/>
          <w:color w:val="auto"/>
        </w:rPr>
      </w:pPr>
      <w:r>
        <w:rPr>
          <w:rFonts w:hint="eastAsia"/>
          <w:color w:val="auto"/>
        </w:rPr>
        <w:t>（3）国家、行业、地方政府明令淘汰的施工设备、机具和产品不应使用</w:t>
      </w:r>
    </w:p>
    <w:p w14:paraId="35846358">
      <w:pPr>
        <w:rPr>
          <w:rFonts w:hint="eastAsia"/>
          <w:color w:val="auto"/>
        </w:rPr>
      </w:pPr>
      <w:r>
        <w:rPr>
          <w:rFonts w:hint="eastAsia"/>
          <w:color w:val="auto"/>
        </w:rPr>
        <w:t>①选用国家、行业、推荐的节能、高效的施工设备和机具。选用变频的水泵、塔吊及施工电梯。</w:t>
      </w:r>
    </w:p>
    <w:p w14:paraId="2EDF96BA">
      <w:pPr>
        <w:rPr>
          <w:rFonts w:hint="eastAsia"/>
          <w:color w:val="auto"/>
        </w:rPr>
      </w:pPr>
      <w:r>
        <w:rPr>
          <w:rFonts w:hint="eastAsia"/>
          <w:color w:val="auto"/>
        </w:rPr>
        <w:t>②合理选择塔吊及施工电梯，避免造成能源浪费。</w:t>
      </w:r>
    </w:p>
    <w:p w14:paraId="74CBB689">
      <w:pPr>
        <w:rPr>
          <w:rFonts w:hint="eastAsia"/>
          <w:color w:val="auto"/>
        </w:rPr>
      </w:pPr>
      <w:r>
        <w:rPr>
          <w:rFonts w:hint="eastAsia"/>
          <w:color w:val="auto"/>
        </w:rPr>
        <w:t>3、一般项</w:t>
      </w:r>
    </w:p>
    <w:p w14:paraId="7293D4FC">
      <w:pPr>
        <w:rPr>
          <w:rFonts w:hint="eastAsia"/>
          <w:color w:val="auto"/>
        </w:rPr>
      </w:pPr>
      <w:r>
        <w:rPr>
          <w:rFonts w:hint="eastAsia"/>
          <w:color w:val="auto"/>
        </w:rPr>
        <w:t>（1）临时用电设施</w:t>
      </w:r>
    </w:p>
    <w:p w14:paraId="6453AC8F">
      <w:pPr>
        <w:rPr>
          <w:rFonts w:hint="eastAsia"/>
          <w:color w:val="auto"/>
        </w:rPr>
      </w:pPr>
      <w:r>
        <w:rPr>
          <w:rFonts w:hint="eastAsia"/>
          <w:color w:val="auto"/>
        </w:rPr>
        <w:t>①应采用节能型设施</w:t>
      </w:r>
    </w:p>
    <w:p w14:paraId="7ECDB2FF">
      <w:pPr>
        <w:rPr>
          <w:rFonts w:hint="eastAsia"/>
          <w:color w:val="auto"/>
        </w:rPr>
      </w:pPr>
      <w:r>
        <w:rPr>
          <w:rFonts w:hint="eastAsia"/>
          <w:color w:val="auto"/>
        </w:rPr>
        <w:t>a选用待用节能环保标识的设备。</w:t>
      </w:r>
    </w:p>
    <w:p w14:paraId="4DA5CEB9">
      <w:pPr>
        <w:rPr>
          <w:rFonts w:hint="eastAsia"/>
          <w:color w:val="auto"/>
        </w:rPr>
      </w:pPr>
      <w:r>
        <w:rPr>
          <w:rFonts w:hint="eastAsia"/>
          <w:color w:val="auto"/>
        </w:rPr>
        <w:t>b选用节能灯具、声控照明设备。</w:t>
      </w:r>
    </w:p>
    <w:p w14:paraId="5130AA10">
      <w:pPr>
        <w:rPr>
          <w:rFonts w:hint="eastAsia"/>
          <w:color w:val="auto"/>
        </w:rPr>
      </w:pPr>
      <w:r>
        <w:rPr>
          <w:rFonts w:hint="eastAsia"/>
          <w:color w:val="auto"/>
        </w:rPr>
        <w:t>②临时用电设置合理，管理制度应齐全并落实到位</w:t>
      </w:r>
    </w:p>
    <w:p w14:paraId="0D150067">
      <w:pPr>
        <w:rPr>
          <w:rFonts w:hint="eastAsia"/>
          <w:color w:val="auto"/>
        </w:rPr>
      </w:pPr>
      <w:r>
        <w:rPr>
          <w:rFonts w:hint="eastAsia"/>
          <w:color w:val="auto"/>
        </w:rPr>
        <w:t>a合理布置施工现场机械、加工厂。</w:t>
      </w:r>
    </w:p>
    <w:p w14:paraId="4EF5D85F">
      <w:pPr>
        <w:rPr>
          <w:rFonts w:hint="eastAsia"/>
          <w:color w:val="auto"/>
        </w:rPr>
      </w:pPr>
      <w:r>
        <w:rPr>
          <w:rFonts w:hint="eastAsia"/>
          <w:color w:val="auto"/>
        </w:rPr>
        <w:t>b合理布置生活区用电设备。</w:t>
      </w:r>
    </w:p>
    <w:p w14:paraId="469E08D5">
      <w:pPr>
        <w:rPr>
          <w:rFonts w:hint="eastAsia"/>
          <w:color w:val="auto"/>
        </w:rPr>
      </w:pPr>
      <w:r>
        <w:rPr>
          <w:rFonts w:hint="eastAsia"/>
          <w:color w:val="auto"/>
        </w:rPr>
        <w:t>③现场照明设计应符合国家现行标准《施工现场临时用电安全技术规范》JGJ46的规定。</w:t>
      </w:r>
    </w:p>
    <w:p w14:paraId="5E92AB6C">
      <w:pPr>
        <w:rPr>
          <w:rFonts w:hint="eastAsia"/>
          <w:color w:val="auto"/>
        </w:rPr>
      </w:pPr>
      <w:r>
        <w:rPr>
          <w:rFonts w:hint="eastAsia"/>
          <w:color w:val="auto"/>
        </w:rPr>
        <w:t>（2）机械设备</w:t>
      </w:r>
    </w:p>
    <w:p w14:paraId="6780868A">
      <w:pPr>
        <w:rPr>
          <w:rFonts w:hint="eastAsia"/>
          <w:color w:val="auto"/>
        </w:rPr>
      </w:pPr>
      <w:r>
        <w:rPr>
          <w:rFonts w:hint="eastAsia"/>
          <w:color w:val="auto"/>
        </w:rPr>
        <w:t>①应采用能源利用效率高的施工机械设备</w:t>
      </w:r>
    </w:p>
    <w:p w14:paraId="72811459">
      <w:pPr>
        <w:rPr>
          <w:rFonts w:hint="eastAsia"/>
          <w:color w:val="auto"/>
        </w:rPr>
      </w:pPr>
      <w:r>
        <w:rPr>
          <w:rFonts w:hint="eastAsia"/>
          <w:color w:val="auto"/>
        </w:rPr>
        <w:t>采用运行速度快，效率高的塔吊及施工电梯。</w:t>
      </w:r>
    </w:p>
    <w:p w14:paraId="78CA7624">
      <w:pPr>
        <w:rPr>
          <w:rFonts w:hint="eastAsia"/>
          <w:color w:val="auto"/>
        </w:rPr>
      </w:pPr>
      <w:r>
        <w:rPr>
          <w:rFonts w:hint="eastAsia"/>
          <w:color w:val="auto"/>
        </w:rPr>
        <w:t>②施工机具资源应共享</w:t>
      </w:r>
    </w:p>
    <w:p w14:paraId="4075A04F">
      <w:pPr>
        <w:rPr>
          <w:rFonts w:hint="eastAsia"/>
          <w:color w:val="auto"/>
        </w:rPr>
      </w:pPr>
      <w:r>
        <w:rPr>
          <w:rFonts w:hint="eastAsia"/>
          <w:color w:val="auto"/>
        </w:rPr>
        <w:t>a总包方、分包方施工机具进行统一管理，合理安排，共享使用。</w:t>
      </w:r>
    </w:p>
    <w:p w14:paraId="7E254DC1">
      <w:pPr>
        <w:rPr>
          <w:rFonts w:hint="eastAsia"/>
          <w:color w:val="auto"/>
        </w:rPr>
      </w:pPr>
      <w:r>
        <w:rPr>
          <w:rFonts w:hint="eastAsia"/>
          <w:color w:val="auto"/>
        </w:rPr>
        <w:t>b统筹考虑各阶段施工机具，避免超额配置。</w:t>
      </w:r>
    </w:p>
    <w:p w14:paraId="2D57B212">
      <w:pPr>
        <w:rPr>
          <w:rFonts w:hint="eastAsia"/>
          <w:color w:val="auto"/>
        </w:rPr>
      </w:pPr>
      <w:r>
        <w:rPr>
          <w:rFonts w:hint="eastAsia"/>
          <w:color w:val="auto"/>
        </w:rPr>
        <w:t>③应定期监控重点耗能设备的能源利用情况，并有记录</w:t>
      </w:r>
    </w:p>
    <w:p w14:paraId="0079CDBA">
      <w:pPr>
        <w:rPr>
          <w:rFonts w:hint="eastAsia"/>
          <w:color w:val="auto"/>
        </w:rPr>
      </w:pPr>
      <w:r>
        <w:rPr>
          <w:rFonts w:hint="eastAsia"/>
          <w:color w:val="auto"/>
        </w:rPr>
        <w:t>④应建立设备技术档案，并定期进行设备维护、保养</w:t>
      </w:r>
    </w:p>
    <w:p w14:paraId="688F6FE7">
      <w:pPr>
        <w:rPr>
          <w:rFonts w:hint="eastAsia"/>
          <w:color w:val="auto"/>
        </w:rPr>
      </w:pPr>
      <w:r>
        <w:rPr>
          <w:rFonts w:hint="eastAsia"/>
          <w:color w:val="auto"/>
        </w:rPr>
        <w:t>做好施工设备维修保养工作，保证其低耗、高效状态，并完善施工设备档案。</w:t>
      </w:r>
    </w:p>
    <w:p w14:paraId="26736096">
      <w:pPr>
        <w:rPr>
          <w:rFonts w:hint="eastAsia"/>
          <w:color w:val="auto"/>
        </w:rPr>
      </w:pPr>
      <w:r>
        <w:rPr>
          <w:rFonts w:hint="eastAsia"/>
          <w:color w:val="auto"/>
        </w:rPr>
        <w:t>（3）临时设施</w:t>
      </w:r>
    </w:p>
    <w:p w14:paraId="2FACEB16">
      <w:pPr>
        <w:rPr>
          <w:rFonts w:hint="eastAsia"/>
          <w:color w:val="auto"/>
        </w:rPr>
      </w:pPr>
      <w:r>
        <w:rPr>
          <w:rFonts w:hint="eastAsia"/>
          <w:color w:val="auto"/>
        </w:rPr>
        <w:t>①临时设施应结合日照和风向等自然条件，合理采用自然采光、通风和外窗遮阳设施</w:t>
      </w:r>
    </w:p>
    <w:p w14:paraId="0742E089">
      <w:pPr>
        <w:rPr>
          <w:rFonts w:hint="eastAsia"/>
          <w:color w:val="auto"/>
        </w:rPr>
      </w:pPr>
      <w:r>
        <w:rPr>
          <w:rFonts w:hint="eastAsia"/>
          <w:color w:val="auto"/>
        </w:rPr>
        <w:t>a合理布置办公区及生活区朝向。</w:t>
      </w:r>
    </w:p>
    <w:p w14:paraId="48CB97E2">
      <w:pPr>
        <w:rPr>
          <w:rFonts w:hint="eastAsia"/>
          <w:color w:val="auto"/>
        </w:rPr>
      </w:pPr>
      <w:r>
        <w:rPr>
          <w:rFonts w:hint="eastAsia"/>
          <w:color w:val="auto"/>
        </w:rPr>
        <w:t>b采用采光、通风、遮阳能够转换的设施。</w:t>
      </w:r>
    </w:p>
    <w:p w14:paraId="697A5DF0">
      <w:pPr>
        <w:rPr>
          <w:rFonts w:hint="eastAsia"/>
          <w:color w:val="auto"/>
        </w:rPr>
      </w:pPr>
      <w:r>
        <w:rPr>
          <w:rFonts w:hint="eastAsia"/>
          <w:color w:val="auto"/>
        </w:rPr>
        <w:t>②临时用房应使用热工性能达标的复合墙体和屋面板，顶棚宜采用吊顶</w:t>
      </w:r>
    </w:p>
    <w:p w14:paraId="17090ACC">
      <w:pPr>
        <w:rPr>
          <w:rFonts w:hint="eastAsia"/>
          <w:color w:val="auto"/>
        </w:rPr>
      </w:pPr>
      <w:r>
        <w:rPr>
          <w:rFonts w:hint="eastAsia"/>
          <w:color w:val="auto"/>
        </w:rPr>
        <w:t>a临建用房采用彩钢板房。</w:t>
      </w:r>
    </w:p>
    <w:p w14:paraId="5A52E1B0">
      <w:pPr>
        <w:rPr>
          <w:rFonts w:hint="eastAsia"/>
          <w:color w:val="auto"/>
        </w:rPr>
      </w:pPr>
      <w:r>
        <w:rPr>
          <w:rFonts w:hint="eastAsia"/>
          <w:color w:val="auto"/>
        </w:rPr>
        <w:t>b顶棚采用吸声隔热吊顶。</w:t>
      </w:r>
    </w:p>
    <w:p w14:paraId="5E93E709">
      <w:pPr>
        <w:rPr>
          <w:rFonts w:hint="eastAsia"/>
          <w:color w:val="auto"/>
        </w:rPr>
      </w:pPr>
      <w:r>
        <w:rPr>
          <w:rFonts w:hint="eastAsia"/>
          <w:color w:val="auto"/>
        </w:rPr>
        <w:t>（4）材料运输与施工</w:t>
      </w:r>
    </w:p>
    <w:p w14:paraId="38B51A9B">
      <w:pPr>
        <w:rPr>
          <w:rFonts w:hint="eastAsia"/>
          <w:color w:val="auto"/>
        </w:rPr>
      </w:pPr>
      <w:r>
        <w:rPr>
          <w:rFonts w:hint="eastAsia"/>
          <w:color w:val="auto"/>
        </w:rPr>
        <w:t>①建筑材料的选用应缩短运输距离，减少能源消耗</w:t>
      </w:r>
    </w:p>
    <w:p w14:paraId="57A85445">
      <w:pPr>
        <w:rPr>
          <w:rFonts w:hint="eastAsia"/>
          <w:color w:val="auto"/>
        </w:rPr>
      </w:pPr>
      <w:r>
        <w:rPr>
          <w:rFonts w:hint="eastAsia"/>
          <w:color w:val="auto"/>
        </w:rPr>
        <w:t>a就近取材，施工现场500km内生产的建筑材料用量不小于70%。</w:t>
      </w:r>
    </w:p>
    <w:p w14:paraId="1FD2EE78">
      <w:pPr>
        <w:rPr>
          <w:rFonts w:hint="eastAsia"/>
          <w:color w:val="auto"/>
        </w:rPr>
      </w:pPr>
      <w:r>
        <w:rPr>
          <w:rFonts w:hint="eastAsia"/>
          <w:color w:val="auto"/>
        </w:rPr>
        <w:t>b沿道路布置材料堆场等，缩短运输距离及二次搬运。</w:t>
      </w:r>
    </w:p>
    <w:p w14:paraId="2B18CF9B">
      <w:pPr>
        <w:rPr>
          <w:rFonts w:hint="eastAsia"/>
          <w:color w:val="auto"/>
        </w:rPr>
      </w:pPr>
      <w:r>
        <w:rPr>
          <w:rFonts w:hint="eastAsia"/>
          <w:color w:val="auto"/>
        </w:rPr>
        <w:t>②应采用能耗少的施工工艺</w:t>
      </w:r>
    </w:p>
    <w:p w14:paraId="1CA5353D">
      <w:pPr>
        <w:rPr>
          <w:rFonts w:hint="eastAsia"/>
          <w:color w:val="auto"/>
        </w:rPr>
      </w:pPr>
      <w:r>
        <w:rPr>
          <w:rFonts w:hint="eastAsia"/>
          <w:color w:val="auto"/>
        </w:rPr>
        <w:t>a对施工工艺进行优化，减少耗能。</w:t>
      </w:r>
    </w:p>
    <w:p w14:paraId="5BAA455F">
      <w:pPr>
        <w:rPr>
          <w:rFonts w:hint="eastAsia"/>
          <w:color w:val="auto"/>
        </w:rPr>
      </w:pPr>
      <w:r>
        <w:rPr>
          <w:rFonts w:hint="eastAsia"/>
          <w:color w:val="auto"/>
        </w:rPr>
        <w:t>b选用一泵到顶，快拆模板体系等设备。</w:t>
      </w:r>
    </w:p>
    <w:p w14:paraId="78E4C90D">
      <w:pPr>
        <w:rPr>
          <w:rFonts w:hint="eastAsia"/>
          <w:color w:val="auto"/>
        </w:rPr>
      </w:pPr>
      <w:r>
        <w:rPr>
          <w:rFonts w:hint="eastAsia"/>
          <w:color w:val="auto"/>
        </w:rPr>
        <w:t>③应合理安排施工工序和施工进度</w:t>
      </w:r>
    </w:p>
    <w:p w14:paraId="68BAD7F4">
      <w:pPr>
        <w:rPr>
          <w:rFonts w:hint="eastAsia"/>
          <w:color w:val="auto"/>
        </w:rPr>
      </w:pPr>
      <w:r>
        <w:rPr>
          <w:rFonts w:hint="eastAsia"/>
          <w:color w:val="auto"/>
        </w:rPr>
        <w:t>a合理安排施工部署，组织好流水施工作业，避免多专业、多工种同时施工，减少机械设备投入数量，降低能耗。</w:t>
      </w:r>
    </w:p>
    <w:p w14:paraId="4260A6FB">
      <w:pPr>
        <w:rPr>
          <w:rFonts w:hint="eastAsia"/>
          <w:color w:val="auto"/>
        </w:rPr>
      </w:pPr>
      <w:r>
        <w:rPr>
          <w:rFonts w:hint="eastAsia"/>
          <w:color w:val="auto"/>
        </w:rPr>
        <w:t>b做好塔吊、施工电梯等辅助设备的使用规划，分高度、分时段进行规划，最大限度的提高机械使用效率，降低能耗。</w:t>
      </w:r>
    </w:p>
    <w:p w14:paraId="4954ADE9">
      <w:pPr>
        <w:rPr>
          <w:rFonts w:hint="eastAsia"/>
          <w:color w:val="auto"/>
        </w:rPr>
      </w:pPr>
      <w:r>
        <w:rPr>
          <w:rFonts w:hint="eastAsia"/>
          <w:color w:val="auto"/>
        </w:rPr>
        <w:t>④应尽量减少夜间作业的时间</w:t>
      </w:r>
    </w:p>
    <w:p w14:paraId="1EEE6D6D">
      <w:pPr>
        <w:rPr>
          <w:rFonts w:hint="eastAsia"/>
          <w:color w:val="auto"/>
        </w:rPr>
      </w:pPr>
      <w:r>
        <w:rPr>
          <w:rFonts w:hint="eastAsia"/>
          <w:color w:val="auto"/>
        </w:rPr>
        <w:t>根据施工进度，合理安排施工时间，尽可能的避免夜间作业施工。</w:t>
      </w:r>
    </w:p>
    <w:p w14:paraId="1DBA73A0">
      <w:pPr>
        <w:rPr>
          <w:rFonts w:hint="eastAsia"/>
          <w:color w:val="auto"/>
        </w:rPr>
      </w:pPr>
      <w:r>
        <w:rPr>
          <w:rFonts w:hint="eastAsia"/>
          <w:color w:val="auto"/>
        </w:rPr>
        <w:t>4、优选项</w:t>
      </w:r>
    </w:p>
    <w:p w14:paraId="54BB4851">
      <w:pPr>
        <w:rPr>
          <w:rFonts w:hint="eastAsia"/>
          <w:color w:val="auto"/>
        </w:rPr>
      </w:pPr>
      <w:r>
        <w:rPr>
          <w:rFonts w:hint="eastAsia"/>
          <w:color w:val="auto"/>
        </w:rPr>
        <w:t>（1）根据当地气候条件，合理利用太阳能和可再生能源。</w:t>
      </w:r>
    </w:p>
    <w:p w14:paraId="7185B0CD">
      <w:pPr>
        <w:rPr>
          <w:rFonts w:hint="eastAsia"/>
          <w:color w:val="auto"/>
        </w:rPr>
      </w:pPr>
      <w:r>
        <w:rPr>
          <w:rFonts w:hint="eastAsia"/>
          <w:color w:val="auto"/>
        </w:rPr>
        <w:t>（2）临电设备应采用自动控制装置。</w:t>
      </w:r>
    </w:p>
    <w:p w14:paraId="37FEF7C0">
      <w:pPr>
        <w:rPr>
          <w:rFonts w:hint="eastAsia"/>
          <w:color w:val="auto"/>
        </w:rPr>
      </w:pPr>
      <w:r>
        <w:rPr>
          <w:rFonts w:hint="eastAsia"/>
          <w:color w:val="auto"/>
        </w:rPr>
        <w:t>①施工现场采用限流器，降低能耗，达到环保、节能要求。</w:t>
      </w:r>
    </w:p>
    <w:p w14:paraId="481952DE">
      <w:pPr>
        <w:rPr>
          <w:rFonts w:hint="eastAsia"/>
          <w:color w:val="auto"/>
        </w:rPr>
      </w:pPr>
      <w:r>
        <w:rPr>
          <w:rFonts w:hint="eastAsia"/>
          <w:color w:val="auto"/>
        </w:rPr>
        <w:t>②走道、卫生间及走廊采用声控及光控等节能照明灯具。</w:t>
      </w:r>
    </w:p>
    <w:p w14:paraId="3DC33217">
      <w:pPr>
        <w:rPr>
          <w:rFonts w:hint="eastAsia"/>
          <w:color w:val="auto"/>
        </w:rPr>
      </w:pPr>
      <w:r>
        <w:rPr>
          <w:rFonts w:hint="eastAsia"/>
          <w:color w:val="auto"/>
        </w:rPr>
        <w:t>（3）办公、施工和生活现场，采用节能照明灯具的数量应大于总数的80%。</w:t>
      </w:r>
    </w:p>
    <w:p w14:paraId="7830C70D">
      <w:pPr>
        <w:rPr>
          <w:rFonts w:hint="eastAsia"/>
          <w:color w:val="auto"/>
        </w:rPr>
      </w:pPr>
      <w:r>
        <w:rPr>
          <w:rFonts w:hint="eastAsia"/>
          <w:color w:val="auto"/>
        </w:rPr>
        <w:t>（4）使用办公、施工和生活现场用电应分别计量。</w:t>
      </w:r>
    </w:p>
    <w:p w14:paraId="5439B646">
      <w:pPr>
        <w:rPr>
          <w:rFonts w:hint="eastAsia"/>
          <w:color w:val="auto"/>
        </w:rPr>
      </w:pPr>
      <w:r>
        <w:rPr>
          <w:rFonts w:hint="eastAsia"/>
          <w:color w:val="auto"/>
        </w:rPr>
        <w:t>（5）办公、生活和施工现场用电应分别计量。</w:t>
      </w:r>
    </w:p>
    <w:p w14:paraId="29A2A7D3">
      <w:pPr>
        <w:pStyle w:val="7"/>
        <w:rPr>
          <w:rFonts w:hint="eastAsia"/>
          <w:color w:val="auto"/>
        </w:rPr>
      </w:pPr>
      <w:bookmarkStart w:id="81" w:name="_Toc4297"/>
      <w:r>
        <w:rPr>
          <w:rFonts w:hint="eastAsia"/>
          <w:color w:val="auto"/>
        </w:rPr>
        <w:t>能源节约与利用</w:t>
      </w:r>
      <w:bookmarkEnd w:id="81"/>
    </w:p>
    <w:p w14:paraId="482573FF">
      <w:pPr>
        <w:pStyle w:val="6"/>
        <w:ind w:firstLine="480"/>
        <w:rPr>
          <w:rFonts w:hint="eastAsia"/>
          <w:color w:val="auto"/>
        </w:rPr>
      </w:pPr>
      <w:bookmarkStart w:id="82" w:name="_Toc296604956"/>
      <w:bookmarkEnd w:id="82"/>
      <w:r>
        <w:rPr>
          <w:rFonts w:hint="eastAsia"/>
          <w:color w:val="auto"/>
        </w:rPr>
        <w:t>1、节约能耗主要措施</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4223"/>
        <w:gridCol w:w="4229"/>
      </w:tblGrid>
      <w:tr w14:paraId="71B2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C7DD1C5">
            <w:pPr>
              <w:pStyle w:val="6"/>
              <w:spacing w:after="0" w:line="240" w:lineRule="auto"/>
              <w:ind w:firstLine="0" w:firstLineChars="0"/>
              <w:jc w:val="center"/>
              <w:rPr>
                <w:rFonts w:hint="eastAsia"/>
                <w:color w:val="auto"/>
                <w:sz w:val="21"/>
                <w:szCs w:val="21"/>
              </w:rPr>
            </w:pPr>
            <w:r>
              <w:rPr>
                <w:rFonts w:hint="eastAsia"/>
                <w:color w:val="auto"/>
                <w:sz w:val="21"/>
                <w:szCs w:val="21"/>
              </w:rPr>
              <w:t>序号</w:t>
            </w:r>
          </w:p>
        </w:tc>
        <w:tc>
          <w:tcPr>
            <w:tcW w:w="4551" w:type="pct"/>
            <w:gridSpan w:val="2"/>
            <w:tcBorders>
              <w:top w:val="single" w:color="auto" w:sz="4" w:space="0"/>
              <w:left w:val="nil"/>
              <w:bottom w:val="single" w:color="auto" w:sz="4" w:space="0"/>
              <w:right w:val="single" w:color="auto" w:sz="4" w:space="0"/>
            </w:tcBorders>
            <w:noWrap w:val="0"/>
            <w:vAlign w:val="center"/>
          </w:tcPr>
          <w:p w14:paraId="69C842CA">
            <w:pPr>
              <w:pStyle w:val="6"/>
              <w:spacing w:after="0" w:line="240" w:lineRule="auto"/>
              <w:ind w:firstLine="0" w:firstLineChars="0"/>
              <w:jc w:val="center"/>
              <w:rPr>
                <w:rFonts w:hint="eastAsia"/>
                <w:color w:val="auto"/>
                <w:sz w:val="21"/>
                <w:szCs w:val="21"/>
              </w:rPr>
            </w:pPr>
            <w:r>
              <w:rPr>
                <w:rFonts w:hint="eastAsia"/>
                <w:color w:val="auto"/>
                <w:sz w:val="21"/>
                <w:szCs w:val="21"/>
              </w:rPr>
              <w:t>具体措施</w:t>
            </w:r>
          </w:p>
        </w:tc>
      </w:tr>
      <w:tr w14:paraId="4BB1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D959857">
            <w:pPr>
              <w:pStyle w:val="6"/>
              <w:spacing w:after="0" w:line="240" w:lineRule="auto"/>
              <w:ind w:firstLine="0" w:firstLineChars="0"/>
              <w:jc w:val="center"/>
              <w:rPr>
                <w:rFonts w:hint="eastAsia"/>
                <w:color w:val="auto"/>
                <w:sz w:val="21"/>
                <w:szCs w:val="21"/>
              </w:rPr>
            </w:pPr>
            <w:r>
              <w:rPr>
                <w:rFonts w:hint="eastAsia"/>
                <w:color w:val="auto"/>
                <w:sz w:val="21"/>
                <w:szCs w:val="21"/>
              </w:rPr>
              <w:t>1</w:t>
            </w:r>
          </w:p>
        </w:tc>
        <w:tc>
          <w:tcPr>
            <w:tcW w:w="4551" w:type="pct"/>
            <w:gridSpan w:val="2"/>
            <w:tcBorders>
              <w:top w:val="single" w:color="auto" w:sz="4" w:space="0"/>
              <w:left w:val="nil"/>
              <w:bottom w:val="single" w:color="auto" w:sz="4" w:space="0"/>
              <w:right w:val="single" w:color="auto" w:sz="4" w:space="0"/>
            </w:tcBorders>
            <w:noWrap w:val="0"/>
            <w:vAlign w:val="center"/>
          </w:tcPr>
          <w:p w14:paraId="271CFD5D">
            <w:pPr>
              <w:pStyle w:val="6"/>
              <w:spacing w:after="0" w:line="240" w:lineRule="auto"/>
              <w:ind w:firstLine="420"/>
              <w:rPr>
                <w:rFonts w:hint="eastAsia"/>
                <w:color w:val="auto"/>
                <w:sz w:val="21"/>
                <w:szCs w:val="21"/>
              </w:rPr>
            </w:pPr>
            <w:r>
              <w:rPr>
                <w:rFonts w:hint="eastAsia"/>
                <w:color w:val="auto"/>
                <w:sz w:val="21"/>
                <w:szCs w:val="21"/>
              </w:rPr>
              <w:t>施工现场分别设定生产、生活、办公和施工设备的用电控制指标，定期进行计量、核算、对比分析，并有预防与纠正措施。</w:t>
            </w:r>
          </w:p>
        </w:tc>
      </w:tr>
      <w:tr w14:paraId="65C5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DBF6A2C">
            <w:pPr>
              <w:pStyle w:val="6"/>
              <w:spacing w:after="0" w:line="240" w:lineRule="auto"/>
              <w:ind w:firstLine="0" w:firstLineChars="0"/>
              <w:jc w:val="center"/>
              <w:rPr>
                <w:rFonts w:hint="eastAsia"/>
                <w:color w:val="auto"/>
                <w:sz w:val="21"/>
                <w:szCs w:val="21"/>
              </w:rPr>
            </w:pPr>
            <w:r>
              <w:rPr>
                <w:rFonts w:hint="eastAsia"/>
                <w:color w:val="auto"/>
                <w:sz w:val="21"/>
                <w:szCs w:val="21"/>
              </w:rPr>
              <w:t>2</w:t>
            </w:r>
          </w:p>
        </w:tc>
        <w:tc>
          <w:tcPr>
            <w:tcW w:w="4551" w:type="pct"/>
            <w:gridSpan w:val="2"/>
            <w:tcBorders>
              <w:top w:val="single" w:color="auto" w:sz="4" w:space="0"/>
              <w:left w:val="nil"/>
              <w:bottom w:val="single" w:color="auto" w:sz="4" w:space="0"/>
              <w:right w:val="single" w:color="auto" w:sz="4" w:space="0"/>
            </w:tcBorders>
            <w:noWrap w:val="0"/>
            <w:vAlign w:val="center"/>
          </w:tcPr>
          <w:p w14:paraId="6E4EFCD0">
            <w:pPr>
              <w:pStyle w:val="6"/>
              <w:spacing w:after="0" w:line="240" w:lineRule="auto"/>
              <w:ind w:firstLine="420"/>
              <w:rPr>
                <w:rFonts w:hint="eastAsia"/>
                <w:color w:val="auto"/>
                <w:sz w:val="21"/>
                <w:szCs w:val="21"/>
              </w:rPr>
            </w:pPr>
            <w:r>
              <w:rPr>
                <w:rFonts w:hint="eastAsia"/>
                <w:color w:val="auto"/>
                <w:sz w:val="21"/>
                <w:szCs w:val="21"/>
              </w:rPr>
              <w:t>在施工组织设计中，合理安排施工顺序、工作面，减少作业区域的机具数量，相邻作业区充分利用共有的机具资源。安排施工工艺时，优先考虑耗用电能低的或其他能耗较少的施工工艺，避免设备额定功率远大于使用功率或超负荷使用设备的现象。</w:t>
            </w:r>
          </w:p>
        </w:tc>
      </w:tr>
      <w:tr w14:paraId="4DDE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27AB1AB">
            <w:pPr>
              <w:pStyle w:val="6"/>
              <w:spacing w:after="0" w:line="240" w:lineRule="auto"/>
              <w:ind w:firstLine="0" w:firstLineChars="0"/>
              <w:jc w:val="center"/>
              <w:rPr>
                <w:rFonts w:hint="eastAsia"/>
                <w:color w:val="auto"/>
                <w:sz w:val="21"/>
                <w:szCs w:val="21"/>
              </w:rPr>
            </w:pPr>
            <w:r>
              <w:rPr>
                <w:rFonts w:hint="eastAsia"/>
                <w:color w:val="auto"/>
                <w:sz w:val="21"/>
                <w:szCs w:val="21"/>
              </w:rPr>
              <w:t>3</w:t>
            </w:r>
          </w:p>
        </w:tc>
        <w:tc>
          <w:tcPr>
            <w:tcW w:w="4551" w:type="pct"/>
            <w:gridSpan w:val="2"/>
            <w:tcBorders>
              <w:top w:val="single" w:color="auto" w:sz="4" w:space="0"/>
              <w:left w:val="nil"/>
              <w:bottom w:val="single" w:color="auto" w:sz="4" w:space="0"/>
              <w:right w:val="single" w:color="auto" w:sz="4" w:space="0"/>
            </w:tcBorders>
            <w:noWrap w:val="0"/>
            <w:vAlign w:val="center"/>
          </w:tcPr>
          <w:p w14:paraId="6670C1C7">
            <w:pPr>
              <w:pStyle w:val="6"/>
              <w:spacing w:after="0" w:line="240" w:lineRule="auto"/>
              <w:ind w:firstLine="420"/>
              <w:rPr>
                <w:rFonts w:hint="eastAsia"/>
                <w:color w:val="auto"/>
                <w:sz w:val="21"/>
                <w:szCs w:val="21"/>
              </w:rPr>
            </w:pPr>
            <w:r>
              <w:rPr>
                <w:rFonts w:hint="eastAsia"/>
                <w:color w:val="auto"/>
                <w:sz w:val="21"/>
                <w:szCs w:val="21"/>
              </w:rPr>
              <w:t>现场办公室采用活动板房集中办公格局，以自然通风、自然光照明为主，各办公室室内均安装用电限流装置；办公及生活区室内照明采用新型节能LED灯具。</w:t>
            </w:r>
          </w:p>
        </w:tc>
      </w:tr>
      <w:tr w14:paraId="2056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F094C2C">
            <w:pPr>
              <w:pStyle w:val="6"/>
              <w:spacing w:after="0" w:line="240" w:lineRule="auto"/>
              <w:ind w:firstLine="0" w:firstLineChars="0"/>
              <w:jc w:val="center"/>
              <w:rPr>
                <w:rFonts w:hint="eastAsia"/>
                <w:color w:val="auto"/>
                <w:sz w:val="21"/>
                <w:szCs w:val="21"/>
              </w:rPr>
            </w:pPr>
            <w:r>
              <w:rPr>
                <w:rFonts w:hint="eastAsia"/>
                <w:color w:val="auto"/>
                <w:sz w:val="21"/>
                <w:szCs w:val="21"/>
              </w:rPr>
              <w:t>4</w:t>
            </w:r>
          </w:p>
        </w:tc>
        <w:tc>
          <w:tcPr>
            <w:tcW w:w="4551" w:type="pct"/>
            <w:gridSpan w:val="2"/>
            <w:tcBorders>
              <w:top w:val="single" w:color="auto" w:sz="4" w:space="0"/>
              <w:left w:val="nil"/>
              <w:bottom w:val="single" w:color="auto" w:sz="4" w:space="0"/>
              <w:right w:val="single" w:color="auto" w:sz="4" w:space="0"/>
            </w:tcBorders>
            <w:noWrap w:val="0"/>
            <w:vAlign w:val="center"/>
          </w:tcPr>
          <w:p w14:paraId="30C1FD79">
            <w:pPr>
              <w:pStyle w:val="6"/>
              <w:spacing w:after="0" w:line="240" w:lineRule="auto"/>
              <w:ind w:firstLine="420"/>
              <w:rPr>
                <w:rFonts w:hint="eastAsia"/>
                <w:color w:val="auto"/>
                <w:sz w:val="21"/>
                <w:szCs w:val="21"/>
              </w:rPr>
            </w:pPr>
            <w:r>
              <w:rPr>
                <w:rFonts w:hint="eastAsia"/>
                <w:color w:val="auto"/>
                <w:sz w:val="21"/>
                <w:szCs w:val="21"/>
              </w:rPr>
              <w:t>生活区每间寝室均安装限流装置，尽量节约用电同时也保证生活区的正常用电，避免出现使用大功率用电器而出现整体跳闸、断电等情况。</w:t>
            </w:r>
          </w:p>
        </w:tc>
      </w:tr>
      <w:tr w14:paraId="014A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720B5DA">
            <w:pPr>
              <w:pStyle w:val="6"/>
              <w:spacing w:after="0" w:line="240" w:lineRule="auto"/>
              <w:ind w:firstLine="0" w:firstLineChars="0"/>
              <w:jc w:val="center"/>
              <w:rPr>
                <w:rFonts w:hint="eastAsia"/>
                <w:color w:val="auto"/>
                <w:sz w:val="21"/>
                <w:szCs w:val="21"/>
              </w:rPr>
            </w:pPr>
            <w:r>
              <w:rPr>
                <w:rFonts w:hint="eastAsia"/>
                <w:color w:val="auto"/>
                <w:sz w:val="21"/>
                <w:szCs w:val="21"/>
              </w:rPr>
              <w:t>5</w:t>
            </w:r>
          </w:p>
        </w:tc>
        <w:tc>
          <w:tcPr>
            <w:tcW w:w="4551" w:type="pct"/>
            <w:gridSpan w:val="2"/>
            <w:tcBorders>
              <w:top w:val="single" w:color="auto" w:sz="4" w:space="0"/>
              <w:left w:val="nil"/>
              <w:bottom w:val="single" w:color="auto" w:sz="4" w:space="0"/>
              <w:right w:val="single" w:color="auto" w:sz="4" w:space="0"/>
            </w:tcBorders>
            <w:noWrap w:val="0"/>
            <w:vAlign w:val="center"/>
          </w:tcPr>
          <w:p w14:paraId="036257CE">
            <w:pPr>
              <w:pStyle w:val="6"/>
              <w:spacing w:after="0" w:line="240" w:lineRule="auto"/>
              <w:ind w:firstLine="420"/>
              <w:rPr>
                <w:rFonts w:hint="eastAsia"/>
                <w:color w:val="auto"/>
                <w:sz w:val="21"/>
                <w:szCs w:val="21"/>
              </w:rPr>
            </w:pPr>
            <w:r>
              <w:rPr>
                <w:rFonts w:hint="eastAsia"/>
                <w:color w:val="auto"/>
                <w:sz w:val="21"/>
                <w:szCs w:val="21"/>
              </w:rPr>
              <w:t>现场安装水表、电表，随时了解用水，用电情况。经常检测现场供水阀门，杜绝跑、冒、滴、漏现象，对浪费能源的责任人实行奖罚制度，并公告处理结果。</w:t>
            </w:r>
          </w:p>
        </w:tc>
      </w:tr>
      <w:tr w14:paraId="291A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B1793B8">
            <w:pPr>
              <w:pStyle w:val="6"/>
              <w:spacing w:after="0" w:line="240" w:lineRule="auto"/>
              <w:ind w:firstLine="0" w:firstLineChars="0"/>
              <w:jc w:val="center"/>
              <w:rPr>
                <w:rFonts w:hint="eastAsia"/>
                <w:color w:val="auto"/>
                <w:sz w:val="21"/>
                <w:szCs w:val="21"/>
              </w:rPr>
            </w:pPr>
            <w:r>
              <w:rPr>
                <w:rFonts w:hint="eastAsia"/>
                <w:color w:val="auto"/>
                <w:sz w:val="21"/>
                <w:szCs w:val="21"/>
              </w:rPr>
              <w:t>6</w:t>
            </w:r>
          </w:p>
        </w:tc>
        <w:tc>
          <w:tcPr>
            <w:tcW w:w="2274" w:type="pct"/>
            <w:tcBorders>
              <w:top w:val="single" w:color="auto" w:sz="4" w:space="0"/>
              <w:left w:val="nil"/>
              <w:bottom w:val="single" w:color="auto" w:sz="4" w:space="0"/>
              <w:right w:val="single" w:color="auto" w:sz="4" w:space="0"/>
            </w:tcBorders>
            <w:noWrap w:val="0"/>
            <w:vAlign w:val="center"/>
          </w:tcPr>
          <w:p w14:paraId="644BE110">
            <w:pPr>
              <w:pStyle w:val="6"/>
              <w:spacing w:after="0" w:line="240" w:lineRule="auto"/>
              <w:ind w:firstLine="0" w:firstLineChars="0"/>
              <w:jc w:val="center"/>
              <w:rPr>
                <w:rFonts w:hint="eastAsia"/>
                <w:color w:val="auto"/>
                <w:sz w:val="21"/>
                <w:szCs w:val="21"/>
              </w:rPr>
            </w:pPr>
            <w:r>
              <w:rPr>
                <w:rFonts w:hint="eastAsia"/>
                <w:color w:val="auto"/>
                <w:sz w:val="21"/>
                <w:szCs w:val="21"/>
              </w:rPr>
              <w:drawing>
                <wp:inline distT="0" distB="0" distL="114300" distR="114300">
                  <wp:extent cx="1799590" cy="1371600"/>
                  <wp:effectExtent l="0" t="0" r="3810" b="0"/>
                  <wp:docPr id="49" name="图片 579" descr="wp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79" descr="wps5"/>
                          <pic:cNvPicPr>
                            <a:picLocks noChangeAspect="1"/>
                          </pic:cNvPicPr>
                        </pic:nvPicPr>
                        <pic:blipFill>
                          <a:blip r:embed="rId73"/>
                          <a:stretch>
                            <a:fillRect/>
                          </a:stretch>
                        </pic:blipFill>
                        <pic:spPr>
                          <a:xfrm>
                            <a:off x="0" y="0"/>
                            <a:ext cx="1799590" cy="1371600"/>
                          </a:xfrm>
                          <a:prstGeom prst="rect">
                            <a:avLst/>
                          </a:prstGeom>
                          <a:noFill/>
                          <a:ln>
                            <a:noFill/>
                          </a:ln>
                        </pic:spPr>
                      </pic:pic>
                    </a:graphicData>
                  </a:graphic>
                </wp:inline>
              </w:drawing>
            </w:r>
          </w:p>
          <w:p w14:paraId="4517A71C">
            <w:pPr>
              <w:pStyle w:val="6"/>
              <w:spacing w:after="0" w:line="240" w:lineRule="auto"/>
              <w:ind w:firstLine="0" w:firstLineChars="0"/>
              <w:jc w:val="center"/>
              <w:rPr>
                <w:rFonts w:hint="eastAsia"/>
                <w:color w:val="auto"/>
                <w:sz w:val="21"/>
                <w:szCs w:val="21"/>
              </w:rPr>
            </w:pPr>
            <w:r>
              <w:rPr>
                <w:rFonts w:hint="eastAsia"/>
                <w:color w:val="auto"/>
                <w:sz w:val="21"/>
                <w:szCs w:val="21"/>
              </w:rPr>
              <w:t>太阳能路灯</w:t>
            </w:r>
          </w:p>
        </w:tc>
        <w:tc>
          <w:tcPr>
            <w:tcW w:w="2277" w:type="pct"/>
            <w:tcBorders>
              <w:top w:val="single" w:color="auto" w:sz="4" w:space="0"/>
              <w:left w:val="nil"/>
              <w:bottom w:val="single" w:color="auto" w:sz="4" w:space="0"/>
              <w:right w:val="single" w:color="auto" w:sz="4" w:space="0"/>
            </w:tcBorders>
            <w:noWrap w:val="0"/>
            <w:vAlign w:val="center"/>
          </w:tcPr>
          <w:p w14:paraId="0A5445C3">
            <w:pPr>
              <w:pStyle w:val="6"/>
              <w:spacing w:after="0" w:line="240" w:lineRule="auto"/>
              <w:ind w:firstLine="0" w:firstLineChars="0"/>
              <w:jc w:val="center"/>
              <w:rPr>
                <w:rFonts w:hint="eastAsia"/>
                <w:color w:val="auto"/>
                <w:sz w:val="21"/>
                <w:szCs w:val="21"/>
              </w:rPr>
            </w:pPr>
            <w:r>
              <w:rPr>
                <w:rFonts w:hint="eastAsia"/>
                <w:color w:val="auto"/>
                <w:sz w:val="21"/>
                <w:szCs w:val="21"/>
              </w:rPr>
              <w:drawing>
                <wp:inline distT="0" distB="0" distL="114300" distR="114300">
                  <wp:extent cx="1903730" cy="1371600"/>
                  <wp:effectExtent l="0" t="0" r="1270" b="0"/>
                  <wp:docPr id="50" name="图片 580" descr="wp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80" descr="wps6"/>
                          <pic:cNvPicPr>
                            <a:picLocks noChangeAspect="1"/>
                          </pic:cNvPicPr>
                        </pic:nvPicPr>
                        <pic:blipFill>
                          <a:blip r:embed="rId74"/>
                          <a:stretch>
                            <a:fillRect/>
                          </a:stretch>
                        </pic:blipFill>
                        <pic:spPr>
                          <a:xfrm>
                            <a:off x="0" y="0"/>
                            <a:ext cx="1903730" cy="1371600"/>
                          </a:xfrm>
                          <a:prstGeom prst="rect">
                            <a:avLst/>
                          </a:prstGeom>
                          <a:noFill/>
                          <a:ln>
                            <a:noFill/>
                          </a:ln>
                        </pic:spPr>
                      </pic:pic>
                    </a:graphicData>
                  </a:graphic>
                </wp:inline>
              </w:drawing>
            </w:r>
          </w:p>
          <w:p w14:paraId="2C7091C3">
            <w:pPr>
              <w:pStyle w:val="6"/>
              <w:spacing w:after="0" w:line="240" w:lineRule="auto"/>
              <w:ind w:firstLine="0" w:firstLineChars="0"/>
              <w:jc w:val="center"/>
              <w:rPr>
                <w:rFonts w:hint="eastAsia"/>
                <w:color w:val="auto"/>
                <w:sz w:val="21"/>
                <w:szCs w:val="21"/>
              </w:rPr>
            </w:pPr>
            <w:r>
              <w:rPr>
                <w:rFonts w:hint="eastAsia"/>
                <w:color w:val="auto"/>
                <w:sz w:val="21"/>
                <w:szCs w:val="21"/>
              </w:rPr>
              <w:t>空气能热水器</w:t>
            </w:r>
          </w:p>
        </w:tc>
      </w:tr>
    </w:tbl>
    <w:p w14:paraId="2F6494AF">
      <w:pPr>
        <w:pStyle w:val="6"/>
        <w:ind w:firstLine="480"/>
        <w:rPr>
          <w:rFonts w:hint="eastAsia"/>
          <w:color w:val="auto"/>
        </w:rPr>
      </w:pPr>
      <w:bookmarkStart w:id="83" w:name="_Toc296604959"/>
      <w:bookmarkEnd w:id="83"/>
      <w:r>
        <w:rPr>
          <w:rFonts w:hint="eastAsia"/>
          <w:color w:val="auto"/>
        </w:rPr>
        <w:t>2、施工用电及照明</w:t>
      </w:r>
    </w:p>
    <w:tbl>
      <w:tblPr>
        <w:tblStyle w:val="34"/>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4390"/>
        <w:gridCol w:w="4192"/>
      </w:tblGrid>
      <w:tr w14:paraId="2733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noWrap w:val="0"/>
            <w:vAlign w:val="center"/>
          </w:tcPr>
          <w:p w14:paraId="7617F264">
            <w:pPr>
              <w:pStyle w:val="6"/>
              <w:spacing w:after="0" w:line="240" w:lineRule="auto"/>
              <w:ind w:firstLine="0" w:firstLineChars="0"/>
              <w:jc w:val="center"/>
              <w:rPr>
                <w:rFonts w:hint="eastAsia"/>
                <w:color w:val="auto"/>
                <w:sz w:val="21"/>
                <w:szCs w:val="21"/>
              </w:rPr>
            </w:pPr>
            <w:r>
              <w:rPr>
                <w:rFonts w:hint="eastAsia"/>
                <w:color w:val="auto"/>
                <w:sz w:val="21"/>
                <w:szCs w:val="21"/>
              </w:rPr>
              <w:t>序号</w:t>
            </w:r>
          </w:p>
        </w:tc>
        <w:tc>
          <w:tcPr>
            <w:tcW w:w="4621" w:type="pct"/>
            <w:gridSpan w:val="2"/>
            <w:tcBorders>
              <w:top w:val="single" w:color="auto" w:sz="4" w:space="0"/>
              <w:left w:val="nil"/>
              <w:bottom w:val="single" w:color="auto" w:sz="4" w:space="0"/>
              <w:right w:val="single" w:color="auto" w:sz="4" w:space="0"/>
            </w:tcBorders>
            <w:noWrap w:val="0"/>
            <w:vAlign w:val="center"/>
          </w:tcPr>
          <w:p w14:paraId="5FFB09E8">
            <w:pPr>
              <w:pStyle w:val="6"/>
              <w:spacing w:after="0" w:line="240" w:lineRule="auto"/>
              <w:ind w:firstLine="0" w:firstLineChars="0"/>
              <w:jc w:val="center"/>
              <w:rPr>
                <w:rFonts w:hint="eastAsia"/>
                <w:color w:val="auto"/>
                <w:sz w:val="21"/>
                <w:szCs w:val="21"/>
              </w:rPr>
            </w:pPr>
            <w:r>
              <w:rPr>
                <w:rFonts w:hint="eastAsia"/>
                <w:color w:val="auto"/>
                <w:sz w:val="21"/>
                <w:szCs w:val="21"/>
              </w:rPr>
              <w:t>具体措施</w:t>
            </w:r>
          </w:p>
        </w:tc>
      </w:tr>
      <w:tr w14:paraId="0175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noWrap w:val="0"/>
            <w:vAlign w:val="center"/>
          </w:tcPr>
          <w:p w14:paraId="69632463">
            <w:pPr>
              <w:pStyle w:val="6"/>
              <w:spacing w:after="0" w:line="240" w:lineRule="auto"/>
              <w:ind w:firstLine="0" w:firstLineChars="0"/>
              <w:jc w:val="center"/>
              <w:rPr>
                <w:rFonts w:hint="eastAsia"/>
                <w:color w:val="auto"/>
                <w:sz w:val="21"/>
                <w:szCs w:val="21"/>
              </w:rPr>
            </w:pPr>
            <w:r>
              <w:rPr>
                <w:rFonts w:hint="eastAsia"/>
                <w:color w:val="auto"/>
                <w:sz w:val="21"/>
                <w:szCs w:val="21"/>
              </w:rPr>
              <w:t>1</w:t>
            </w:r>
          </w:p>
        </w:tc>
        <w:tc>
          <w:tcPr>
            <w:tcW w:w="4621" w:type="pct"/>
            <w:gridSpan w:val="2"/>
            <w:tcBorders>
              <w:top w:val="single" w:color="auto" w:sz="4" w:space="0"/>
              <w:left w:val="nil"/>
              <w:bottom w:val="single" w:color="auto" w:sz="4" w:space="0"/>
              <w:right w:val="single" w:color="auto" w:sz="4" w:space="0"/>
            </w:tcBorders>
            <w:noWrap w:val="0"/>
            <w:vAlign w:val="center"/>
          </w:tcPr>
          <w:p w14:paraId="4DA6A9DC">
            <w:pPr>
              <w:pStyle w:val="6"/>
              <w:spacing w:after="0" w:line="240" w:lineRule="auto"/>
              <w:ind w:firstLine="420"/>
              <w:rPr>
                <w:rFonts w:hint="eastAsia"/>
                <w:color w:val="auto"/>
                <w:sz w:val="21"/>
                <w:szCs w:val="21"/>
              </w:rPr>
            </w:pPr>
            <w:r>
              <w:rPr>
                <w:rFonts w:hint="eastAsia"/>
                <w:color w:val="auto"/>
                <w:sz w:val="21"/>
                <w:szCs w:val="21"/>
              </w:rPr>
              <w:t>根据工程需要，统计设备加工的工作量，合理使用国家、行业推荐的节能、高效、环保的施工设备和机具。</w:t>
            </w:r>
          </w:p>
        </w:tc>
      </w:tr>
      <w:tr w14:paraId="2FE5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noWrap w:val="0"/>
            <w:vAlign w:val="center"/>
          </w:tcPr>
          <w:p w14:paraId="3E36F8D2">
            <w:pPr>
              <w:pStyle w:val="6"/>
              <w:spacing w:after="0" w:line="240" w:lineRule="auto"/>
              <w:ind w:firstLine="0" w:firstLineChars="0"/>
              <w:jc w:val="center"/>
              <w:rPr>
                <w:rFonts w:hint="eastAsia"/>
                <w:color w:val="auto"/>
                <w:sz w:val="21"/>
                <w:szCs w:val="21"/>
              </w:rPr>
            </w:pPr>
            <w:r>
              <w:rPr>
                <w:rFonts w:hint="eastAsia"/>
                <w:color w:val="auto"/>
                <w:sz w:val="21"/>
                <w:szCs w:val="21"/>
              </w:rPr>
              <w:t>2</w:t>
            </w:r>
          </w:p>
        </w:tc>
        <w:tc>
          <w:tcPr>
            <w:tcW w:w="4621" w:type="pct"/>
            <w:gridSpan w:val="2"/>
            <w:tcBorders>
              <w:top w:val="single" w:color="auto" w:sz="4" w:space="0"/>
              <w:left w:val="nil"/>
              <w:bottom w:val="single" w:color="auto" w:sz="4" w:space="0"/>
              <w:right w:val="single" w:color="auto" w:sz="4" w:space="0"/>
            </w:tcBorders>
            <w:noWrap w:val="0"/>
            <w:vAlign w:val="center"/>
          </w:tcPr>
          <w:p w14:paraId="08DE4826">
            <w:pPr>
              <w:pStyle w:val="6"/>
              <w:spacing w:after="0" w:line="240" w:lineRule="auto"/>
              <w:ind w:firstLine="420"/>
              <w:rPr>
                <w:rFonts w:hint="eastAsia"/>
                <w:color w:val="auto"/>
                <w:sz w:val="21"/>
                <w:szCs w:val="21"/>
              </w:rPr>
            </w:pPr>
            <w:r>
              <w:rPr>
                <w:rFonts w:hint="eastAsia"/>
                <w:color w:val="auto"/>
                <w:sz w:val="21"/>
                <w:szCs w:val="21"/>
              </w:rPr>
              <w:t>对于生活区，制定相应的用电管理制度，不使用大功率用电器等。</w:t>
            </w:r>
          </w:p>
        </w:tc>
      </w:tr>
      <w:tr w14:paraId="4B16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noWrap w:val="0"/>
            <w:vAlign w:val="center"/>
          </w:tcPr>
          <w:p w14:paraId="72F32D44">
            <w:pPr>
              <w:pStyle w:val="6"/>
              <w:spacing w:after="0" w:line="240" w:lineRule="auto"/>
              <w:ind w:firstLine="0" w:firstLineChars="0"/>
              <w:jc w:val="center"/>
              <w:rPr>
                <w:rFonts w:hint="eastAsia"/>
                <w:color w:val="auto"/>
                <w:sz w:val="21"/>
                <w:szCs w:val="21"/>
              </w:rPr>
            </w:pPr>
            <w:r>
              <w:rPr>
                <w:rFonts w:hint="eastAsia"/>
                <w:color w:val="auto"/>
                <w:sz w:val="21"/>
                <w:szCs w:val="21"/>
              </w:rPr>
              <w:t>3</w:t>
            </w:r>
          </w:p>
        </w:tc>
        <w:tc>
          <w:tcPr>
            <w:tcW w:w="4621" w:type="pct"/>
            <w:gridSpan w:val="2"/>
            <w:tcBorders>
              <w:top w:val="single" w:color="auto" w:sz="4" w:space="0"/>
              <w:left w:val="nil"/>
              <w:bottom w:val="single" w:color="auto" w:sz="4" w:space="0"/>
              <w:right w:val="single" w:color="auto" w:sz="4" w:space="0"/>
            </w:tcBorders>
            <w:noWrap w:val="0"/>
            <w:vAlign w:val="center"/>
          </w:tcPr>
          <w:p w14:paraId="2A45C7D9">
            <w:pPr>
              <w:pStyle w:val="6"/>
              <w:spacing w:after="0" w:line="240" w:lineRule="auto"/>
              <w:ind w:firstLine="420"/>
              <w:rPr>
                <w:rFonts w:hint="eastAsia"/>
                <w:color w:val="auto"/>
                <w:sz w:val="21"/>
                <w:szCs w:val="21"/>
              </w:rPr>
            </w:pPr>
            <w:r>
              <w:rPr>
                <w:rFonts w:hint="eastAsia"/>
                <w:color w:val="auto"/>
                <w:sz w:val="21"/>
                <w:szCs w:val="21"/>
              </w:rPr>
              <w:t>照明设计以满足最低照度为原则，照度不超过最低照度的20%。</w:t>
            </w:r>
          </w:p>
        </w:tc>
      </w:tr>
      <w:tr w14:paraId="1C87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noWrap w:val="0"/>
            <w:vAlign w:val="center"/>
          </w:tcPr>
          <w:p w14:paraId="4EBBC109">
            <w:pPr>
              <w:pStyle w:val="6"/>
              <w:spacing w:after="0" w:line="240" w:lineRule="auto"/>
              <w:ind w:firstLine="0" w:firstLineChars="0"/>
              <w:jc w:val="center"/>
              <w:rPr>
                <w:rFonts w:hint="eastAsia"/>
                <w:color w:val="auto"/>
                <w:sz w:val="21"/>
                <w:szCs w:val="21"/>
              </w:rPr>
            </w:pPr>
            <w:r>
              <w:rPr>
                <w:rFonts w:hint="eastAsia"/>
                <w:color w:val="auto"/>
                <w:sz w:val="21"/>
                <w:szCs w:val="21"/>
              </w:rPr>
              <w:t>4</w:t>
            </w:r>
          </w:p>
        </w:tc>
        <w:tc>
          <w:tcPr>
            <w:tcW w:w="4621" w:type="pct"/>
            <w:gridSpan w:val="2"/>
            <w:tcBorders>
              <w:top w:val="single" w:color="auto" w:sz="4" w:space="0"/>
              <w:left w:val="nil"/>
              <w:bottom w:val="single" w:color="auto" w:sz="4" w:space="0"/>
              <w:right w:val="single" w:color="auto" w:sz="4" w:space="0"/>
            </w:tcBorders>
            <w:noWrap w:val="0"/>
            <w:vAlign w:val="center"/>
          </w:tcPr>
          <w:p w14:paraId="1702E725">
            <w:pPr>
              <w:pStyle w:val="6"/>
              <w:spacing w:after="0" w:line="240" w:lineRule="auto"/>
              <w:ind w:firstLine="420"/>
              <w:rPr>
                <w:rFonts w:hint="eastAsia"/>
                <w:color w:val="auto"/>
                <w:sz w:val="21"/>
                <w:szCs w:val="21"/>
              </w:rPr>
            </w:pPr>
            <w:r>
              <w:rPr>
                <w:rFonts w:hint="eastAsia"/>
                <w:color w:val="auto"/>
                <w:sz w:val="21"/>
                <w:szCs w:val="21"/>
              </w:rPr>
              <w:t>合理安排工期，尽量减少夜间施工。</w:t>
            </w:r>
          </w:p>
        </w:tc>
      </w:tr>
      <w:tr w14:paraId="5102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noWrap w:val="0"/>
            <w:vAlign w:val="center"/>
          </w:tcPr>
          <w:p w14:paraId="36C613ED">
            <w:pPr>
              <w:pStyle w:val="6"/>
              <w:spacing w:after="0" w:line="240" w:lineRule="auto"/>
              <w:ind w:firstLine="0" w:firstLineChars="0"/>
              <w:jc w:val="center"/>
              <w:rPr>
                <w:rFonts w:hint="eastAsia"/>
                <w:color w:val="auto"/>
                <w:sz w:val="21"/>
                <w:szCs w:val="21"/>
              </w:rPr>
            </w:pPr>
            <w:r>
              <w:rPr>
                <w:rFonts w:hint="eastAsia"/>
                <w:color w:val="auto"/>
                <w:sz w:val="21"/>
                <w:szCs w:val="21"/>
              </w:rPr>
              <w:t>5</w:t>
            </w:r>
          </w:p>
        </w:tc>
        <w:tc>
          <w:tcPr>
            <w:tcW w:w="4621" w:type="pct"/>
            <w:gridSpan w:val="2"/>
            <w:tcBorders>
              <w:top w:val="single" w:color="auto" w:sz="4" w:space="0"/>
              <w:left w:val="nil"/>
              <w:bottom w:val="single" w:color="auto" w:sz="4" w:space="0"/>
              <w:right w:val="single" w:color="auto" w:sz="4" w:space="0"/>
            </w:tcBorders>
            <w:noWrap w:val="0"/>
            <w:vAlign w:val="center"/>
          </w:tcPr>
          <w:p w14:paraId="42F17D85">
            <w:pPr>
              <w:pStyle w:val="6"/>
              <w:spacing w:after="0" w:line="240" w:lineRule="auto"/>
              <w:ind w:firstLine="420"/>
              <w:rPr>
                <w:rFonts w:hint="eastAsia"/>
                <w:color w:val="auto"/>
                <w:sz w:val="21"/>
                <w:szCs w:val="21"/>
              </w:rPr>
            </w:pPr>
            <w:r>
              <w:rPr>
                <w:rFonts w:hint="eastAsia"/>
                <w:color w:val="auto"/>
                <w:sz w:val="21"/>
                <w:szCs w:val="21"/>
              </w:rPr>
              <w:t>夜间施工确保施工段的照明，无关区域不开灯。</w:t>
            </w:r>
          </w:p>
        </w:tc>
      </w:tr>
      <w:tr w14:paraId="5942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noWrap w:val="0"/>
            <w:vAlign w:val="center"/>
          </w:tcPr>
          <w:p w14:paraId="6102D419">
            <w:pPr>
              <w:pStyle w:val="6"/>
              <w:spacing w:after="0" w:line="240" w:lineRule="auto"/>
              <w:ind w:firstLine="0" w:firstLineChars="0"/>
              <w:jc w:val="center"/>
              <w:rPr>
                <w:rFonts w:hint="eastAsia"/>
                <w:color w:val="auto"/>
                <w:sz w:val="21"/>
                <w:szCs w:val="21"/>
              </w:rPr>
            </w:pPr>
            <w:r>
              <w:rPr>
                <w:rFonts w:hint="eastAsia"/>
                <w:color w:val="auto"/>
                <w:sz w:val="21"/>
                <w:szCs w:val="21"/>
              </w:rPr>
              <w:t>6</w:t>
            </w:r>
          </w:p>
        </w:tc>
        <w:tc>
          <w:tcPr>
            <w:tcW w:w="4621" w:type="pct"/>
            <w:gridSpan w:val="2"/>
            <w:tcBorders>
              <w:top w:val="single" w:color="auto" w:sz="4" w:space="0"/>
              <w:left w:val="nil"/>
              <w:bottom w:val="single" w:color="auto" w:sz="4" w:space="0"/>
              <w:right w:val="single" w:color="auto" w:sz="4" w:space="0"/>
            </w:tcBorders>
            <w:noWrap w:val="0"/>
            <w:vAlign w:val="center"/>
          </w:tcPr>
          <w:p w14:paraId="7B7FACDB">
            <w:pPr>
              <w:pStyle w:val="6"/>
              <w:spacing w:after="0" w:line="240" w:lineRule="auto"/>
              <w:ind w:firstLine="420"/>
              <w:rPr>
                <w:rFonts w:hint="eastAsia"/>
                <w:color w:val="auto"/>
                <w:sz w:val="21"/>
                <w:szCs w:val="21"/>
              </w:rPr>
            </w:pPr>
            <w:r>
              <w:rPr>
                <w:rFonts w:hint="eastAsia"/>
                <w:color w:val="auto"/>
                <w:sz w:val="21"/>
                <w:szCs w:val="21"/>
              </w:rPr>
              <w:t>电焊机配备空载短路装置，降低功耗，配置率100%。</w:t>
            </w:r>
          </w:p>
        </w:tc>
      </w:tr>
      <w:tr w14:paraId="2D9C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noWrap w:val="0"/>
            <w:vAlign w:val="center"/>
          </w:tcPr>
          <w:p w14:paraId="28D4FBD8">
            <w:pPr>
              <w:pStyle w:val="6"/>
              <w:spacing w:after="0" w:line="240" w:lineRule="auto"/>
              <w:ind w:firstLine="0" w:firstLineChars="0"/>
              <w:jc w:val="center"/>
              <w:rPr>
                <w:rFonts w:hint="eastAsia"/>
                <w:color w:val="auto"/>
                <w:sz w:val="21"/>
                <w:szCs w:val="21"/>
              </w:rPr>
            </w:pPr>
            <w:r>
              <w:rPr>
                <w:rFonts w:hint="eastAsia"/>
                <w:color w:val="auto"/>
                <w:sz w:val="21"/>
                <w:szCs w:val="21"/>
              </w:rPr>
              <w:t>7</w:t>
            </w:r>
          </w:p>
        </w:tc>
        <w:tc>
          <w:tcPr>
            <w:tcW w:w="4621" w:type="pct"/>
            <w:gridSpan w:val="2"/>
            <w:tcBorders>
              <w:top w:val="single" w:color="auto" w:sz="4" w:space="0"/>
              <w:left w:val="nil"/>
              <w:bottom w:val="single" w:color="auto" w:sz="4" w:space="0"/>
              <w:right w:val="single" w:color="auto" w:sz="4" w:space="0"/>
            </w:tcBorders>
            <w:noWrap w:val="0"/>
            <w:vAlign w:val="center"/>
          </w:tcPr>
          <w:p w14:paraId="405263DD">
            <w:pPr>
              <w:pStyle w:val="6"/>
              <w:spacing w:after="0" w:line="240" w:lineRule="auto"/>
              <w:ind w:firstLine="420"/>
              <w:rPr>
                <w:rFonts w:hint="eastAsia"/>
                <w:color w:val="auto"/>
                <w:sz w:val="21"/>
                <w:szCs w:val="21"/>
              </w:rPr>
            </w:pPr>
            <w:r>
              <w:rPr>
                <w:rFonts w:hint="eastAsia"/>
                <w:color w:val="auto"/>
                <w:sz w:val="21"/>
                <w:szCs w:val="21"/>
              </w:rPr>
              <w:t>分区段安装电度表，进行计量并对生活区宿舍用电进行考核。</w:t>
            </w:r>
          </w:p>
        </w:tc>
      </w:tr>
      <w:tr w14:paraId="0EF8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noWrap w:val="0"/>
            <w:vAlign w:val="center"/>
          </w:tcPr>
          <w:p w14:paraId="7069E433">
            <w:pPr>
              <w:pStyle w:val="6"/>
              <w:spacing w:after="0" w:line="240" w:lineRule="auto"/>
              <w:ind w:firstLine="0" w:firstLineChars="0"/>
              <w:jc w:val="center"/>
              <w:rPr>
                <w:rFonts w:hint="eastAsia"/>
                <w:color w:val="auto"/>
                <w:sz w:val="21"/>
                <w:szCs w:val="21"/>
              </w:rPr>
            </w:pPr>
            <w:r>
              <w:rPr>
                <w:rFonts w:hint="eastAsia"/>
                <w:color w:val="auto"/>
                <w:sz w:val="21"/>
                <w:szCs w:val="21"/>
              </w:rPr>
              <w:t>8</w:t>
            </w:r>
          </w:p>
        </w:tc>
        <w:tc>
          <w:tcPr>
            <w:tcW w:w="4621" w:type="pct"/>
            <w:gridSpan w:val="2"/>
            <w:tcBorders>
              <w:top w:val="single" w:color="auto" w:sz="4" w:space="0"/>
              <w:left w:val="nil"/>
              <w:bottom w:val="single" w:color="auto" w:sz="4" w:space="0"/>
              <w:right w:val="single" w:color="auto" w:sz="4" w:space="0"/>
            </w:tcBorders>
            <w:noWrap w:val="0"/>
            <w:vAlign w:val="center"/>
          </w:tcPr>
          <w:p w14:paraId="6150FC91">
            <w:pPr>
              <w:pStyle w:val="6"/>
              <w:spacing w:after="0" w:line="240" w:lineRule="auto"/>
              <w:ind w:firstLine="420"/>
              <w:rPr>
                <w:rFonts w:hint="eastAsia"/>
                <w:color w:val="auto"/>
                <w:sz w:val="21"/>
                <w:szCs w:val="21"/>
              </w:rPr>
            </w:pPr>
            <w:r>
              <w:rPr>
                <w:rFonts w:hint="eastAsia"/>
                <w:color w:val="auto"/>
                <w:sz w:val="21"/>
                <w:szCs w:val="21"/>
              </w:rPr>
              <w:t>办公室及生活区门口粘贴“节约用电、下班关好电源”等宣传标语。</w:t>
            </w:r>
          </w:p>
        </w:tc>
      </w:tr>
      <w:tr w14:paraId="3F86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noWrap w:val="0"/>
            <w:vAlign w:val="center"/>
          </w:tcPr>
          <w:p w14:paraId="47659822">
            <w:pPr>
              <w:pStyle w:val="6"/>
              <w:spacing w:after="0" w:line="240" w:lineRule="auto"/>
              <w:ind w:firstLine="0" w:firstLineChars="0"/>
              <w:jc w:val="center"/>
              <w:rPr>
                <w:rFonts w:hint="eastAsia"/>
                <w:color w:val="auto"/>
                <w:sz w:val="21"/>
                <w:szCs w:val="21"/>
              </w:rPr>
            </w:pPr>
            <w:r>
              <w:rPr>
                <w:rFonts w:hint="eastAsia"/>
                <w:color w:val="auto"/>
                <w:sz w:val="21"/>
                <w:szCs w:val="21"/>
              </w:rPr>
              <w:t>9</w:t>
            </w:r>
          </w:p>
        </w:tc>
        <w:tc>
          <w:tcPr>
            <w:tcW w:w="4621" w:type="pct"/>
            <w:gridSpan w:val="2"/>
            <w:tcBorders>
              <w:top w:val="single" w:color="auto" w:sz="4" w:space="0"/>
              <w:left w:val="nil"/>
              <w:bottom w:val="single" w:color="auto" w:sz="4" w:space="0"/>
              <w:right w:val="single" w:color="auto" w:sz="4" w:space="0"/>
            </w:tcBorders>
            <w:noWrap w:val="0"/>
            <w:vAlign w:val="center"/>
          </w:tcPr>
          <w:p w14:paraId="5AA64430">
            <w:pPr>
              <w:pStyle w:val="6"/>
              <w:spacing w:after="0" w:line="240" w:lineRule="auto"/>
              <w:ind w:firstLine="420"/>
              <w:rPr>
                <w:rFonts w:hint="eastAsia"/>
                <w:color w:val="auto"/>
                <w:sz w:val="21"/>
                <w:szCs w:val="21"/>
              </w:rPr>
            </w:pPr>
            <w:r>
              <w:rPr>
                <w:rFonts w:hint="eastAsia"/>
                <w:color w:val="auto"/>
                <w:sz w:val="21"/>
                <w:szCs w:val="21"/>
              </w:rPr>
              <w:t>施工现场照明采用节能LED照明灯具，地下室、楼梯间采用LED灯带照明。夜间施工时，派专人对现场灯具进行管理。杜绝在没有夜间施工作业时也将灯具打开照明。</w:t>
            </w:r>
          </w:p>
        </w:tc>
      </w:tr>
      <w:tr w14:paraId="19F9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noWrap w:val="0"/>
            <w:vAlign w:val="center"/>
          </w:tcPr>
          <w:p w14:paraId="1FC0DDF5">
            <w:pPr>
              <w:pStyle w:val="6"/>
              <w:spacing w:after="0" w:line="240" w:lineRule="auto"/>
              <w:ind w:firstLine="0" w:firstLineChars="0"/>
              <w:jc w:val="center"/>
              <w:rPr>
                <w:rFonts w:hint="eastAsia"/>
                <w:color w:val="auto"/>
                <w:sz w:val="21"/>
                <w:szCs w:val="21"/>
              </w:rPr>
            </w:pPr>
            <w:r>
              <w:rPr>
                <w:rFonts w:hint="eastAsia"/>
                <w:color w:val="auto"/>
                <w:sz w:val="21"/>
                <w:szCs w:val="21"/>
              </w:rPr>
              <w:t>10</w:t>
            </w:r>
          </w:p>
        </w:tc>
        <w:tc>
          <w:tcPr>
            <w:tcW w:w="2364" w:type="pct"/>
            <w:tcBorders>
              <w:top w:val="single" w:color="auto" w:sz="4" w:space="0"/>
              <w:left w:val="nil"/>
              <w:bottom w:val="single" w:color="auto" w:sz="4" w:space="0"/>
              <w:right w:val="single" w:color="auto" w:sz="4" w:space="0"/>
            </w:tcBorders>
            <w:noWrap w:val="0"/>
            <w:vAlign w:val="center"/>
          </w:tcPr>
          <w:p w14:paraId="346B35A2">
            <w:pPr>
              <w:pStyle w:val="6"/>
              <w:spacing w:after="0" w:line="240" w:lineRule="auto"/>
              <w:ind w:firstLine="0" w:firstLineChars="0"/>
              <w:jc w:val="center"/>
              <w:rPr>
                <w:rFonts w:hint="eastAsia"/>
                <w:color w:val="auto"/>
                <w:sz w:val="21"/>
                <w:szCs w:val="21"/>
              </w:rPr>
            </w:pPr>
            <w:r>
              <w:rPr>
                <w:rFonts w:hint="eastAsia"/>
                <w:color w:val="auto"/>
                <w:sz w:val="21"/>
                <w:szCs w:val="21"/>
              </w:rPr>
              <w:drawing>
                <wp:inline distT="0" distB="0" distL="114300" distR="114300">
                  <wp:extent cx="1991360" cy="1403350"/>
                  <wp:effectExtent l="0" t="0" r="2540" b="6350"/>
                  <wp:docPr id="51" name="图片 581" descr="wp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81" descr="wps7"/>
                          <pic:cNvPicPr>
                            <a:picLocks noChangeAspect="1"/>
                          </pic:cNvPicPr>
                        </pic:nvPicPr>
                        <pic:blipFill>
                          <a:blip r:embed="rId75"/>
                          <a:stretch>
                            <a:fillRect/>
                          </a:stretch>
                        </pic:blipFill>
                        <pic:spPr>
                          <a:xfrm>
                            <a:off x="0" y="0"/>
                            <a:ext cx="1991360" cy="1403350"/>
                          </a:xfrm>
                          <a:prstGeom prst="rect">
                            <a:avLst/>
                          </a:prstGeom>
                          <a:noFill/>
                          <a:ln>
                            <a:noFill/>
                          </a:ln>
                        </pic:spPr>
                      </pic:pic>
                    </a:graphicData>
                  </a:graphic>
                </wp:inline>
              </w:drawing>
            </w:r>
          </w:p>
          <w:p w14:paraId="3789A0CD">
            <w:pPr>
              <w:pStyle w:val="6"/>
              <w:spacing w:after="0" w:line="240" w:lineRule="auto"/>
              <w:ind w:firstLine="0" w:firstLineChars="0"/>
              <w:jc w:val="center"/>
              <w:rPr>
                <w:rFonts w:hint="eastAsia"/>
                <w:color w:val="auto"/>
                <w:sz w:val="21"/>
                <w:szCs w:val="21"/>
              </w:rPr>
            </w:pPr>
            <w:r>
              <w:rPr>
                <w:rFonts w:hint="eastAsia"/>
                <w:color w:val="auto"/>
                <w:sz w:val="21"/>
                <w:szCs w:val="21"/>
              </w:rPr>
              <w:t>LED灯带照明</w:t>
            </w:r>
          </w:p>
        </w:tc>
        <w:tc>
          <w:tcPr>
            <w:tcW w:w="2257" w:type="pct"/>
            <w:tcBorders>
              <w:top w:val="single" w:color="auto" w:sz="4" w:space="0"/>
              <w:left w:val="nil"/>
              <w:bottom w:val="single" w:color="auto" w:sz="4" w:space="0"/>
              <w:right w:val="single" w:color="auto" w:sz="4" w:space="0"/>
            </w:tcBorders>
            <w:noWrap w:val="0"/>
            <w:vAlign w:val="center"/>
          </w:tcPr>
          <w:p w14:paraId="1D27B82E">
            <w:pPr>
              <w:pStyle w:val="6"/>
              <w:spacing w:after="0" w:line="240" w:lineRule="auto"/>
              <w:ind w:firstLine="0" w:firstLineChars="0"/>
              <w:jc w:val="center"/>
              <w:rPr>
                <w:rFonts w:hint="eastAsia"/>
                <w:color w:val="auto"/>
                <w:sz w:val="21"/>
                <w:szCs w:val="21"/>
              </w:rPr>
            </w:pPr>
            <w:r>
              <w:rPr>
                <w:rFonts w:hint="eastAsia"/>
                <w:color w:val="auto"/>
                <w:sz w:val="21"/>
                <w:szCs w:val="21"/>
              </w:rPr>
              <w:drawing>
                <wp:inline distT="0" distB="0" distL="114300" distR="114300">
                  <wp:extent cx="1847215" cy="1412240"/>
                  <wp:effectExtent l="0" t="0" r="6985" b="10160"/>
                  <wp:docPr id="53" name="图片 582" descr="wp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82" descr="wps8"/>
                          <pic:cNvPicPr>
                            <a:picLocks noChangeAspect="1"/>
                          </pic:cNvPicPr>
                        </pic:nvPicPr>
                        <pic:blipFill>
                          <a:blip r:embed="rId76"/>
                          <a:stretch>
                            <a:fillRect/>
                          </a:stretch>
                        </pic:blipFill>
                        <pic:spPr>
                          <a:xfrm>
                            <a:off x="0" y="0"/>
                            <a:ext cx="1847215" cy="1412240"/>
                          </a:xfrm>
                          <a:prstGeom prst="rect">
                            <a:avLst/>
                          </a:prstGeom>
                          <a:noFill/>
                          <a:ln>
                            <a:noFill/>
                          </a:ln>
                        </pic:spPr>
                      </pic:pic>
                    </a:graphicData>
                  </a:graphic>
                </wp:inline>
              </w:drawing>
            </w:r>
          </w:p>
          <w:p w14:paraId="57A93D0D">
            <w:pPr>
              <w:pStyle w:val="6"/>
              <w:spacing w:after="0" w:line="240" w:lineRule="auto"/>
              <w:ind w:firstLine="0" w:firstLineChars="0"/>
              <w:jc w:val="center"/>
              <w:rPr>
                <w:rFonts w:hint="eastAsia"/>
                <w:color w:val="auto"/>
                <w:sz w:val="21"/>
                <w:szCs w:val="21"/>
              </w:rPr>
            </w:pPr>
            <w:r>
              <w:rPr>
                <w:rFonts w:hint="eastAsia"/>
                <w:color w:val="auto"/>
                <w:sz w:val="21"/>
                <w:szCs w:val="21"/>
              </w:rPr>
              <w:t>LED灯带照明</w:t>
            </w:r>
          </w:p>
        </w:tc>
      </w:tr>
    </w:tbl>
    <w:p w14:paraId="15CA86EA">
      <w:pPr>
        <w:pStyle w:val="4"/>
        <w:rPr>
          <w:rFonts w:hint="eastAsia"/>
          <w:color w:val="auto"/>
        </w:rPr>
      </w:pPr>
      <w:bookmarkStart w:id="84" w:name="_Toc13814"/>
      <w:r>
        <w:rPr>
          <w:rFonts w:hint="eastAsia"/>
          <w:color w:val="auto"/>
        </w:rPr>
        <w:t>节地与</w:t>
      </w:r>
      <w:r>
        <w:rPr>
          <w:rFonts w:hint="eastAsia"/>
          <w:color w:val="auto"/>
          <w:lang w:val="en-US" w:eastAsia="zh-CN"/>
        </w:rPr>
        <w:t>施工用地</w:t>
      </w:r>
      <w:r>
        <w:rPr>
          <w:rFonts w:hint="eastAsia"/>
          <w:color w:val="auto"/>
        </w:rPr>
        <w:t>保护</w:t>
      </w:r>
      <w:bookmarkEnd w:id="84"/>
    </w:p>
    <w:p w14:paraId="29D88D93">
      <w:pPr>
        <w:pStyle w:val="7"/>
        <w:ind w:firstLine="0"/>
        <w:rPr>
          <w:rFonts w:hint="eastAsia"/>
          <w:color w:val="auto"/>
        </w:rPr>
      </w:pPr>
      <w:bookmarkStart w:id="85" w:name="_Toc9671"/>
      <w:r>
        <w:rPr>
          <w:rFonts w:hint="eastAsia"/>
          <w:color w:val="auto"/>
        </w:rPr>
        <w:t>节地与</w:t>
      </w:r>
      <w:r>
        <w:rPr>
          <w:rFonts w:hint="eastAsia"/>
          <w:color w:val="auto"/>
          <w:lang w:val="en-US" w:eastAsia="zh-CN"/>
        </w:rPr>
        <w:t>施工用地</w:t>
      </w:r>
      <w:r>
        <w:rPr>
          <w:rFonts w:hint="eastAsia"/>
          <w:color w:val="auto"/>
        </w:rPr>
        <w:t>保护</w:t>
      </w:r>
      <w:r>
        <w:rPr>
          <w:rFonts w:hint="eastAsia"/>
          <w:color w:val="auto"/>
          <w:lang w:val="en-US" w:eastAsia="zh-CN"/>
        </w:rPr>
        <w:t>保证措施</w:t>
      </w:r>
      <w:bookmarkEnd w:id="85"/>
    </w:p>
    <w:p w14:paraId="1F0DB7B7">
      <w:pPr>
        <w:rPr>
          <w:rFonts w:hint="eastAsia"/>
          <w:color w:val="auto"/>
        </w:rPr>
      </w:pPr>
      <w:r>
        <w:rPr>
          <w:rFonts w:hint="eastAsia"/>
          <w:color w:val="auto"/>
        </w:rPr>
        <w:t>1、制度与指标</w:t>
      </w:r>
    </w:p>
    <w:p w14:paraId="741DE742">
      <w:pPr>
        <w:rPr>
          <w:rFonts w:hint="eastAsia"/>
          <w:color w:val="auto"/>
        </w:rPr>
      </w:pPr>
      <w:r>
        <w:rPr>
          <w:rFonts w:hint="eastAsia"/>
          <w:color w:val="auto"/>
        </w:rPr>
        <w:t>（1）临时办公和生活用房采用经济、美观、占地面积小、对周边地貌环境影响较小，且适合于施工平面布置动态调整的双层轻钢活动板房标准化装配式结构，生活区与生产区分开布置。办公区用绿化代替场地硬化，大大减少场地硬化面积，节约能源，保护环境。</w:t>
      </w:r>
    </w:p>
    <w:p w14:paraId="22218619">
      <w:pPr>
        <w:rPr>
          <w:rFonts w:hint="eastAsia"/>
          <w:color w:val="auto"/>
        </w:rPr>
      </w:pPr>
      <w:r>
        <w:rPr>
          <w:rFonts w:hint="eastAsia"/>
          <w:color w:val="auto"/>
        </w:rPr>
        <w:t>（2）按照双车道宽度6m的指标设置现场临时施工道路并进行硬化处理。回填区域道路采取预制板铺设道路。</w:t>
      </w:r>
    </w:p>
    <w:p w14:paraId="5A08FA47">
      <w:pPr>
        <w:rPr>
          <w:rFonts w:hint="eastAsia"/>
          <w:color w:val="auto"/>
        </w:rPr>
      </w:pPr>
      <w:r>
        <w:rPr>
          <w:rFonts w:hint="eastAsia"/>
          <w:color w:val="auto"/>
        </w:rPr>
        <w:t>（3）编制临建方案，合理布设临时建筑，最大限度地减少对土地的扰动，保护周边自然生态环境。</w:t>
      </w:r>
    </w:p>
    <w:p w14:paraId="585E0DA7">
      <w:pPr>
        <w:rPr>
          <w:rFonts w:hint="eastAsia"/>
          <w:color w:val="auto"/>
        </w:rPr>
      </w:pPr>
      <w:r>
        <w:rPr>
          <w:rFonts w:hint="eastAsia"/>
          <w:color w:val="auto"/>
        </w:rPr>
        <w:t>（4）根据工程地理位置，充分利用周边原有道路，作为材料进场的主要道路，减少场区内临时道路的设置使用量。</w:t>
      </w:r>
    </w:p>
    <w:p w14:paraId="73171054">
      <w:pPr>
        <w:rPr>
          <w:rFonts w:hint="eastAsia"/>
          <w:color w:val="auto"/>
        </w:rPr>
      </w:pPr>
      <w:r>
        <w:rPr>
          <w:rFonts w:hint="eastAsia"/>
          <w:color w:val="auto"/>
        </w:rPr>
        <w:t>（5）回填完成后，回填区域采取植草、铺设预制板、覆盖安全网等措施，减少场区硬化及后期破除工作。</w:t>
      </w:r>
    </w:p>
    <w:p w14:paraId="3DBD00F0">
      <w:pPr>
        <w:rPr>
          <w:rFonts w:hint="eastAsia"/>
          <w:color w:val="auto"/>
        </w:rPr>
      </w:pPr>
      <w:r>
        <w:rPr>
          <w:rFonts w:hint="eastAsia"/>
          <w:color w:val="auto"/>
        </w:rPr>
        <w:t>（6）现场生产生活设施布置区域以外的空闲位置，采用绿化代替场地硬化，减少场地硬化面积，节约能源，保护环境。</w:t>
      </w:r>
    </w:p>
    <w:p w14:paraId="3CD21CFB">
      <w:pPr>
        <w:rPr>
          <w:rFonts w:hint="eastAsia"/>
          <w:color w:val="auto"/>
        </w:rPr>
      </w:pPr>
      <w:r>
        <w:rPr>
          <w:rFonts w:hint="eastAsia"/>
          <w:color w:val="auto"/>
        </w:rPr>
        <w:t>（7）总平面动态管理，根据现场施工阶段对总平面进行动态调整。同时结合现场工况的变化，对总平面进行调整优化，确保各分包单位的基本使用需求并尽量减少现场用地的占用。</w:t>
      </w:r>
    </w:p>
    <w:p w14:paraId="06B76C65">
      <w:pPr>
        <w:rPr>
          <w:rFonts w:hint="eastAsia"/>
          <w:color w:val="auto"/>
        </w:rPr>
      </w:pPr>
      <w:r>
        <w:rPr>
          <w:rFonts w:hint="eastAsia"/>
          <w:color w:val="auto"/>
        </w:rPr>
        <w:t>2、控制项</w:t>
      </w:r>
    </w:p>
    <w:p w14:paraId="068E3C36">
      <w:pPr>
        <w:rPr>
          <w:rFonts w:hint="eastAsia"/>
          <w:color w:val="auto"/>
        </w:rPr>
      </w:pPr>
      <w:r>
        <w:rPr>
          <w:rFonts w:hint="eastAsia"/>
          <w:color w:val="auto"/>
        </w:rPr>
        <w:t>（1）施工场地布置合理并实施动态管理</w:t>
      </w:r>
    </w:p>
    <w:p w14:paraId="78EC559C">
      <w:pPr>
        <w:rPr>
          <w:rFonts w:hint="eastAsia"/>
          <w:color w:val="auto"/>
        </w:rPr>
      </w:pPr>
      <w:r>
        <w:rPr>
          <w:rFonts w:hint="eastAsia"/>
          <w:color w:val="auto"/>
        </w:rPr>
        <w:t>①根据工程特点和现场场地条件等因素分阶段合理、紧凑布置临建，及动态调整各阶段平面布置图。</w:t>
      </w:r>
    </w:p>
    <w:p w14:paraId="4837C6B0">
      <w:pPr>
        <w:rPr>
          <w:rFonts w:hint="eastAsia"/>
          <w:color w:val="auto"/>
        </w:rPr>
      </w:pPr>
      <w:r>
        <w:rPr>
          <w:rFonts w:hint="eastAsia"/>
          <w:color w:val="auto"/>
        </w:rPr>
        <w:t>②各类临建占地面积应按用地指标所需的最低面积设计，区域划分明确。</w:t>
      </w:r>
    </w:p>
    <w:p w14:paraId="70822985">
      <w:pPr>
        <w:rPr>
          <w:rFonts w:hint="eastAsia"/>
          <w:color w:val="auto"/>
        </w:rPr>
      </w:pPr>
      <w:r>
        <w:rPr>
          <w:rFonts w:hint="eastAsia"/>
          <w:color w:val="auto"/>
        </w:rPr>
        <w:t>（2）施工临时用地应有审批用地手续</w:t>
      </w:r>
    </w:p>
    <w:p w14:paraId="40C9305F">
      <w:pPr>
        <w:rPr>
          <w:rFonts w:hint="eastAsia"/>
          <w:color w:val="auto"/>
        </w:rPr>
      </w:pPr>
      <w:r>
        <w:rPr>
          <w:rFonts w:hint="eastAsia"/>
          <w:color w:val="auto"/>
        </w:rPr>
        <w:t>①优先选用业主提供的红线范围内用地作为临时用地。</w:t>
      </w:r>
    </w:p>
    <w:p w14:paraId="09E4D52F">
      <w:pPr>
        <w:rPr>
          <w:rFonts w:hint="eastAsia"/>
          <w:color w:val="auto"/>
        </w:rPr>
      </w:pPr>
      <w:r>
        <w:rPr>
          <w:rFonts w:hint="eastAsia"/>
          <w:color w:val="auto"/>
        </w:rPr>
        <w:t>②业主提供用地不能满足要求时，利用场外场地进行临建及材料堆场，并向有关部门申请场外用地审批手续。</w:t>
      </w:r>
    </w:p>
    <w:p w14:paraId="50DFFF25">
      <w:pPr>
        <w:rPr>
          <w:rFonts w:hint="eastAsia"/>
          <w:color w:val="auto"/>
        </w:rPr>
      </w:pPr>
      <w:r>
        <w:rPr>
          <w:rFonts w:hint="eastAsia"/>
          <w:color w:val="auto"/>
        </w:rPr>
        <w:t>（3）总包单位应充分了解现场及周边区域人文景观保护要求、工程地质情况及地下管线保护，制定相应保护措施，并报请相关方核准.</w:t>
      </w:r>
    </w:p>
    <w:p w14:paraId="5546A226">
      <w:pPr>
        <w:rPr>
          <w:rFonts w:hint="eastAsia"/>
          <w:color w:val="auto"/>
        </w:rPr>
      </w:pPr>
      <w:r>
        <w:rPr>
          <w:rFonts w:hint="eastAsia"/>
          <w:color w:val="auto"/>
        </w:rPr>
        <w:tab/>
      </w:r>
      <w:r>
        <w:rPr>
          <w:rFonts w:hint="eastAsia"/>
          <w:color w:val="auto"/>
        </w:rPr>
        <w:t>①对周边管线进行统计，并指定相应的保护措施，禁止车辆及机械对其造成破坏，造成不必要的损失。</w:t>
      </w:r>
    </w:p>
    <w:p w14:paraId="72EF1224">
      <w:pPr>
        <w:rPr>
          <w:rFonts w:hint="eastAsia"/>
          <w:color w:val="auto"/>
        </w:rPr>
      </w:pPr>
      <w:r>
        <w:rPr>
          <w:rFonts w:hint="eastAsia"/>
          <w:color w:val="auto"/>
        </w:rPr>
        <w:t>②根据现场情况对周边管线防护进行动态调整。</w:t>
      </w:r>
    </w:p>
    <w:p w14:paraId="23F5B3CB">
      <w:pPr>
        <w:rPr>
          <w:rFonts w:hint="eastAsia"/>
          <w:color w:val="auto"/>
        </w:rPr>
      </w:pPr>
      <w:r>
        <w:rPr>
          <w:rFonts w:hint="eastAsia"/>
          <w:color w:val="auto"/>
        </w:rPr>
        <w:t>3、一般项</w:t>
      </w:r>
    </w:p>
    <w:p w14:paraId="3E366DE9">
      <w:pPr>
        <w:rPr>
          <w:rFonts w:hint="eastAsia"/>
          <w:color w:val="auto"/>
        </w:rPr>
      </w:pPr>
      <w:r>
        <w:rPr>
          <w:rFonts w:hint="eastAsia"/>
          <w:color w:val="auto"/>
        </w:rPr>
        <w:t>（1）节约用地</w:t>
      </w:r>
    </w:p>
    <w:p w14:paraId="392D1048">
      <w:pPr>
        <w:rPr>
          <w:rFonts w:hint="eastAsia"/>
          <w:color w:val="auto"/>
        </w:rPr>
      </w:pPr>
      <w:r>
        <w:rPr>
          <w:rFonts w:hint="eastAsia"/>
          <w:color w:val="auto"/>
        </w:rPr>
        <w:t>①施工总平面布置应紧凑，并尽量减少占地</w:t>
      </w:r>
    </w:p>
    <w:p w14:paraId="00F84107">
      <w:pPr>
        <w:rPr>
          <w:rFonts w:hint="eastAsia"/>
          <w:color w:val="auto"/>
        </w:rPr>
      </w:pPr>
      <w:r>
        <w:rPr>
          <w:rFonts w:hint="eastAsia"/>
          <w:color w:val="auto"/>
        </w:rPr>
        <w:t>a根据临时设施用地指标合理布置施工现场及生活区。</w:t>
      </w:r>
    </w:p>
    <w:p w14:paraId="30F4B084">
      <w:pPr>
        <w:rPr>
          <w:rFonts w:hint="eastAsia"/>
          <w:color w:val="auto"/>
        </w:rPr>
      </w:pPr>
      <w:r>
        <w:rPr>
          <w:rFonts w:hint="eastAsia"/>
          <w:color w:val="auto"/>
        </w:rPr>
        <w:t>b施工过程中，对施工总平面图进行动态调整。</w:t>
      </w:r>
    </w:p>
    <w:p w14:paraId="086CF8BD">
      <w:pPr>
        <w:rPr>
          <w:rFonts w:hint="eastAsia"/>
          <w:color w:val="auto"/>
        </w:rPr>
      </w:pPr>
      <w:r>
        <w:rPr>
          <w:rFonts w:hint="eastAsia"/>
          <w:color w:val="auto"/>
        </w:rPr>
        <w:t>c详见平面布置图。</w:t>
      </w:r>
    </w:p>
    <w:p w14:paraId="354CCF98">
      <w:pPr>
        <w:rPr>
          <w:rFonts w:hint="eastAsia"/>
          <w:color w:val="auto"/>
        </w:rPr>
      </w:pPr>
      <w:r>
        <w:rPr>
          <w:rFonts w:hint="eastAsia"/>
          <w:color w:val="auto"/>
        </w:rPr>
        <w:t>②应在经批准的临时用地范围内组织施工</w:t>
      </w:r>
    </w:p>
    <w:p w14:paraId="491447B8">
      <w:pPr>
        <w:rPr>
          <w:rFonts w:hint="eastAsia"/>
          <w:color w:val="auto"/>
        </w:rPr>
      </w:pPr>
      <w:r>
        <w:rPr>
          <w:rFonts w:hint="eastAsia"/>
          <w:color w:val="auto"/>
        </w:rPr>
        <w:t>现场精细定位，严禁超限使用，</w:t>
      </w:r>
    </w:p>
    <w:p w14:paraId="6A31262A">
      <w:pPr>
        <w:rPr>
          <w:rFonts w:hint="eastAsia"/>
          <w:color w:val="auto"/>
        </w:rPr>
      </w:pPr>
      <w:r>
        <w:rPr>
          <w:rFonts w:hint="eastAsia"/>
          <w:color w:val="auto"/>
        </w:rPr>
        <w:t>③应根据现场条件，合理设计场内交通道路</w:t>
      </w:r>
    </w:p>
    <w:p w14:paraId="076379B3">
      <w:pPr>
        <w:rPr>
          <w:rFonts w:hint="eastAsia"/>
          <w:color w:val="auto"/>
        </w:rPr>
      </w:pPr>
      <w:r>
        <w:rPr>
          <w:rFonts w:hint="eastAsia"/>
          <w:color w:val="auto"/>
        </w:rPr>
        <w:t>a合理布置场内交通，人车分流，满足各种车辆机具设备进出场、消防安全疏散要求，并根据施工阶段进行调整；</w:t>
      </w:r>
    </w:p>
    <w:p w14:paraId="3BEADDDA">
      <w:pPr>
        <w:rPr>
          <w:rFonts w:hint="eastAsia"/>
          <w:color w:val="auto"/>
        </w:rPr>
      </w:pPr>
      <w:r>
        <w:rPr>
          <w:rFonts w:hint="eastAsia"/>
          <w:color w:val="auto"/>
        </w:rPr>
        <w:t>b场内交通道路双车道宽度不小于6米，单车道宽度不小于4米，并尽量形成环形道路，人行通道宽度不小于1.5米。</w:t>
      </w:r>
    </w:p>
    <w:p w14:paraId="2CE98DF4">
      <w:pPr>
        <w:rPr>
          <w:rFonts w:hint="eastAsia"/>
          <w:color w:val="auto"/>
        </w:rPr>
      </w:pPr>
      <w:r>
        <w:rPr>
          <w:rFonts w:hint="eastAsia"/>
          <w:color w:val="auto"/>
        </w:rPr>
        <w:t>c现场行车道与消防车道进行合并，并设置回车场。</w:t>
      </w:r>
    </w:p>
    <w:p w14:paraId="07376671">
      <w:pPr>
        <w:rPr>
          <w:rFonts w:hint="eastAsia"/>
          <w:color w:val="auto"/>
        </w:rPr>
      </w:pPr>
      <w:r>
        <w:rPr>
          <w:rFonts w:hint="eastAsia"/>
          <w:color w:val="auto"/>
        </w:rPr>
        <w:t>④施工现场临时道路布置与原有及永久道路兼顾考虑，并应充分利用拟建道路为施工服务。</w:t>
      </w:r>
    </w:p>
    <w:p w14:paraId="2B3BE024">
      <w:pPr>
        <w:rPr>
          <w:rFonts w:hint="eastAsia"/>
          <w:color w:val="auto"/>
        </w:rPr>
      </w:pPr>
      <w:r>
        <w:rPr>
          <w:rFonts w:hint="eastAsia"/>
          <w:color w:val="auto"/>
        </w:rPr>
        <w:t>本工程有效利用现场施工道路。</w:t>
      </w:r>
    </w:p>
    <w:p w14:paraId="07127E42">
      <w:pPr>
        <w:rPr>
          <w:rFonts w:hint="eastAsia"/>
          <w:color w:val="auto"/>
        </w:rPr>
      </w:pPr>
      <w:r>
        <w:rPr>
          <w:rFonts w:hint="eastAsia"/>
          <w:color w:val="auto"/>
        </w:rPr>
        <w:t>⑤应采用预拌混凝土</w:t>
      </w:r>
    </w:p>
    <w:p w14:paraId="0088C9CE">
      <w:pPr>
        <w:rPr>
          <w:rFonts w:hint="eastAsia"/>
          <w:color w:val="auto"/>
        </w:rPr>
      </w:pPr>
      <w:r>
        <w:rPr>
          <w:rFonts w:hint="eastAsia"/>
          <w:color w:val="auto"/>
        </w:rPr>
        <w:t>本工程主体结构及装饰装修阶段混凝土全部使用商品混凝土。</w:t>
      </w:r>
    </w:p>
    <w:p w14:paraId="108F3D30">
      <w:pPr>
        <w:rPr>
          <w:rFonts w:hint="eastAsia"/>
          <w:color w:val="auto"/>
        </w:rPr>
      </w:pPr>
      <w:r>
        <w:rPr>
          <w:rFonts w:hint="eastAsia"/>
          <w:color w:val="auto"/>
        </w:rPr>
        <w:t>（2）保护用地</w:t>
      </w:r>
    </w:p>
    <w:p w14:paraId="63E2F056">
      <w:pPr>
        <w:rPr>
          <w:rFonts w:hint="eastAsia"/>
          <w:color w:val="auto"/>
        </w:rPr>
      </w:pPr>
      <w:r>
        <w:rPr>
          <w:rFonts w:hint="eastAsia"/>
          <w:color w:val="auto"/>
        </w:rPr>
        <w:t>①应采取防止水土流失的措施</w:t>
      </w:r>
    </w:p>
    <w:p w14:paraId="7DE05CD9">
      <w:pPr>
        <w:rPr>
          <w:rFonts w:hint="eastAsia"/>
          <w:color w:val="auto"/>
        </w:rPr>
      </w:pPr>
      <w:r>
        <w:rPr>
          <w:rFonts w:hint="eastAsia"/>
          <w:color w:val="auto"/>
        </w:rPr>
        <w:t>a编制防止水土流失的控制措施，并明确相关责任人。</w:t>
      </w:r>
    </w:p>
    <w:p w14:paraId="6EAA720B">
      <w:pPr>
        <w:rPr>
          <w:rFonts w:hint="eastAsia"/>
          <w:color w:val="auto"/>
        </w:rPr>
      </w:pPr>
      <w:r>
        <w:rPr>
          <w:rFonts w:hint="eastAsia"/>
          <w:color w:val="auto"/>
        </w:rPr>
        <w:t>b基坑施工阶段对边坡进行喷锚支护，降排水经沉淀后方可排入市政管网。</w:t>
      </w:r>
    </w:p>
    <w:p w14:paraId="0B0CACB2">
      <w:pPr>
        <w:rPr>
          <w:rFonts w:hint="eastAsia"/>
          <w:color w:val="auto"/>
        </w:rPr>
      </w:pPr>
      <w:r>
        <w:rPr>
          <w:rFonts w:hint="eastAsia"/>
          <w:color w:val="auto"/>
        </w:rPr>
        <w:t>c地上施工阶段，对场内空地进行硬化和绿化，充考虑建筑场地永久绿化。</w:t>
      </w:r>
    </w:p>
    <w:p w14:paraId="53B67386">
      <w:pPr>
        <w:rPr>
          <w:rFonts w:hint="eastAsia"/>
          <w:color w:val="auto"/>
        </w:rPr>
      </w:pPr>
      <w:r>
        <w:rPr>
          <w:rFonts w:hint="eastAsia"/>
          <w:color w:val="auto"/>
        </w:rPr>
        <w:t>②应充分利用山地、荒地作为取、弃土场的用地</w:t>
      </w:r>
    </w:p>
    <w:p w14:paraId="7361FBFC">
      <w:pPr>
        <w:rPr>
          <w:rFonts w:hint="eastAsia"/>
          <w:color w:val="auto"/>
        </w:rPr>
      </w:pPr>
      <w:r>
        <w:rPr>
          <w:rFonts w:hint="eastAsia"/>
          <w:color w:val="auto"/>
        </w:rPr>
        <w:t>a在允许的情况下，利用施工现场周围空地做为土方临时堆场；</w:t>
      </w:r>
    </w:p>
    <w:p w14:paraId="5BF9144D">
      <w:pPr>
        <w:rPr>
          <w:rFonts w:hint="eastAsia"/>
          <w:color w:val="auto"/>
        </w:rPr>
      </w:pPr>
      <w:r>
        <w:rPr>
          <w:rFonts w:hint="eastAsia"/>
          <w:color w:val="auto"/>
        </w:rPr>
        <w:t>b工人生活区拟利用园区内空地。</w:t>
      </w:r>
    </w:p>
    <w:p w14:paraId="7A6E6C6C">
      <w:pPr>
        <w:rPr>
          <w:rFonts w:hint="eastAsia"/>
          <w:color w:val="auto"/>
        </w:rPr>
      </w:pPr>
      <w:r>
        <w:rPr>
          <w:rFonts w:hint="eastAsia"/>
          <w:color w:val="auto"/>
        </w:rPr>
        <w:t>③施工后应恢复植被</w:t>
      </w:r>
    </w:p>
    <w:p w14:paraId="1841D01D">
      <w:pPr>
        <w:rPr>
          <w:rFonts w:hint="eastAsia"/>
          <w:color w:val="auto"/>
        </w:rPr>
      </w:pPr>
      <w:r>
        <w:rPr>
          <w:rFonts w:hint="eastAsia"/>
          <w:color w:val="auto"/>
        </w:rPr>
        <w:t>施工完成后协助业主进行红线外部植被的恢复。</w:t>
      </w:r>
    </w:p>
    <w:p w14:paraId="33437E71">
      <w:pPr>
        <w:rPr>
          <w:rFonts w:hint="eastAsia"/>
          <w:color w:val="auto"/>
        </w:rPr>
      </w:pPr>
      <w:r>
        <w:rPr>
          <w:rFonts w:hint="eastAsia"/>
          <w:color w:val="auto"/>
        </w:rPr>
        <w:t>④应对深基坑施工方案进行优化，并应减少土方开挖和回填量，保护用地</w:t>
      </w:r>
    </w:p>
    <w:p w14:paraId="7CBB7656">
      <w:pPr>
        <w:rPr>
          <w:rFonts w:hint="eastAsia"/>
          <w:color w:val="auto"/>
        </w:rPr>
      </w:pPr>
      <w:r>
        <w:rPr>
          <w:rFonts w:hint="eastAsia"/>
          <w:color w:val="auto"/>
        </w:rPr>
        <w:t>a根据项目特点，结合基坑放坡坡顶、坡脚线，合理确定开挖方式，并做好过程控制；</w:t>
      </w:r>
    </w:p>
    <w:p w14:paraId="40BCF3E2">
      <w:pPr>
        <w:rPr>
          <w:rFonts w:hint="eastAsia"/>
          <w:color w:val="auto"/>
        </w:rPr>
      </w:pPr>
      <w:r>
        <w:rPr>
          <w:rFonts w:hint="eastAsia"/>
          <w:color w:val="auto"/>
        </w:rPr>
        <w:t>b土方开挖时，严禁超挖，底层土采用人工开挖。</w:t>
      </w:r>
    </w:p>
    <w:p w14:paraId="4F6D3D7E">
      <w:pPr>
        <w:rPr>
          <w:rFonts w:hint="eastAsia"/>
          <w:color w:val="auto"/>
        </w:rPr>
      </w:pPr>
      <w:r>
        <w:rPr>
          <w:rFonts w:hint="eastAsia"/>
          <w:color w:val="auto"/>
        </w:rPr>
        <w:t>4、优选项</w:t>
      </w:r>
    </w:p>
    <w:p w14:paraId="11A67096">
      <w:pPr>
        <w:rPr>
          <w:rFonts w:hint="eastAsia"/>
          <w:color w:val="auto"/>
        </w:rPr>
      </w:pPr>
      <w:r>
        <w:rPr>
          <w:rFonts w:hint="eastAsia"/>
          <w:color w:val="auto"/>
        </w:rPr>
        <w:t>（1）临时办公和生活用房应采用结构可靠的多层轻钢活动板房，钢骨架多层水泥活动板房等可重复使用的装配式结构，现场除食堂外全部采用移动式集装箱及轻钢活动板房。</w:t>
      </w:r>
    </w:p>
    <w:p w14:paraId="0210B679">
      <w:pPr>
        <w:rPr>
          <w:rFonts w:hint="eastAsia"/>
          <w:color w:val="auto"/>
        </w:rPr>
      </w:pPr>
      <w:r>
        <w:rPr>
          <w:rFonts w:hint="eastAsia"/>
          <w:color w:val="auto"/>
        </w:rPr>
        <w:t>（2）对施工中发现的地下文物资源，应进行有效保护，处理措施恰当</w:t>
      </w:r>
    </w:p>
    <w:p w14:paraId="7D85B501">
      <w:pPr>
        <w:rPr>
          <w:rFonts w:hint="eastAsia"/>
          <w:color w:val="auto"/>
        </w:rPr>
      </w:pPr>
      <w:r>
        <w:rPr>
          <w:rFonts w:hint="eastAsia"/>
          <w:color w:val="auto"/>
        </w:rPr>
        <w:t>施工过程中发现文物，应立即停止施工，及时进行保护，并通知文物保护部门。</w:t>
      </w:r>
    </w:p>
    <w:p w14:paraId="2189504A">
      <w:pPr>
        <w:rPr>
          <w:rFonts w:hint="eastAsia"/>
          <w:color w:val="auto"/>
        </w:rPr>
      </w:pPr>
      <w:r>
        <w:rPr>
          <w:rFonts w:hint="eastAsia"/>
          <w:color w:val="auto"/>
        </w:rPr>
        <w:t>（3）地下水位控制应对相邻地表和建筑物无有害影响</w:t>
      </w:r>
    </w:p>
    <w:p w14:paraId="5FB16608">
      <w:pPr>
        <w:rPr>
          <w:rFonts w:hint="eastAsia"/>
          <w:color w:val="auto"/>
        </w:rPr>
      </w:pPr>
      <w:r>
        <w:rPr>
          <w:rFonts w:hint="eastAsia"/>
          <w:color w:val="auto"/>
        </w:rPr>
        <w:t>①专业资质单位编制地下水位控制措施及应急预案；</w:t>
      </w:r>
    </w:p>
    <w:p w14:paraId="4D204150">
      <w:pPr>
        <w:rPr>
          <w:rFonts w:hint="eastAsia"/>
          <w:color w:val="auto"/>
        </w:rPr>
      </w:pPr>
      <w:r>
        <w:rPr>
          <w:rFonts w:hint="eastAsia"/>
          <w:color w:val="auto"/>
        </w:rPr>
        <w:t>②施工过程中，对基坑及周边建筑进行监测，同时委托第三方监测机构对周边地面及建筑物进行不间断监测。</w:t>
      </w:r>
    </w:p>
    <w:p w14:paraId="0801975D">
      <w:pPr>
        <w:rPr>
          <w:rFonts w:hint="eastAsia"/>
          <w:color w:val="auto"/>
        </w:rPr>
      </w:pPr>
      <w:r>
        <w:rPr>
          <w:rFonts w:hint="eastAsia"/>
          <w:color w:val="auto"/>
        </w:rPr>
        <w:t>（4）钢筋加工应配送化，构件制作应工厂化</w:t>
      </w:r>
    </w:p>
    <w:p w14:paraId="2C9BF3DB">
      <w:pPr>
        <w:rPr>
          <w:rFonts w:hint="eastAsia"/>
          <w:color w:val="auto"/>
        </w:rPr>
      </w:pPr>
      <w:r>
        <w:rPr>
          <w:rFonts w:hint="eastAsia"/>
          <w:color w:val="auto"/>
        </w:rPr>
        <w:t>PC构件、机电安装构件采取工厂化制作。</w:t>
      </w:r>
    </w:p>
    <w:p w14:paraId="54DEAF4B">
      <w:pPr>
        <w:rPr>
          <w:rFonts w:hint="eastAsia"/>
          <w:color w:val="auto"/>
        </w:rPr>
      </w:pPr>
      <w:r>
        <w:rPr>
          <w:rFonts w:hint="eastAsia"/>
          <w:color w:val="auto"/>
        </w:rPr>
        <w:t>（5）施工平面布置应能充分利用和保护原有建筑物、构筑物、道路和管线等，职工宿舍应满足2m2/人的使用面积要求</w:t>
      </w:r>
    </w:p>
    <w:p w14:paraId="79AAB003">
      <w:pPr>
        <w:rPr>
          <w:rFonts w:hint="eastAsia"/>
          <w:color w:val="auto"/>
        </w:rPr>
      </w:pPr>
      <w:r>
        <w:rPr>
          <w:rFonts w:hint="eastAsia"/>
          <w:color w:val="auto"/>
        </w:rPr>
        <w:t>①利用周边建筑物作为临时设施；</w:t>
      </w:r>
    </w:p>
    <w:p w14:paraId="4EFB1520">
      <w:pPr>
        <w:rPr>
          <w:rFonts w:hint="eastAsia"/>
          <w:color w:val="auto"/>
        </w:rPr>
      </w:pPr>
      <w:r>
        <w:rPr>
          <w:rFonts w:hint="eastAsia"/>
          <w:color w:val="auto"/>
        </w:rPr>
        <w:t>②利用周边道路作为施工道路或通行道路；</w:t>
      </w:r>
    </w:p>
    <w:p w14:paraId="35F87D37">
      <w:pPr>
        <w:rPr>
          <w:rFonts w:hint="eastAsia"/>
          <w:color w:val="auto"/>
        </w:rPr>
      </w:pPr>
      <w:r>
        <w:rPr>
          <w:rFonts w:hint="eastAsia"/>
          <w:color w:val="auto"/>
        </w:rPr>
        <w:t>③利用周边管线，用于施工及临时设施水电接驳，降排水使用。</w:t>
      </w:r>
    </w:p>
    <w:p w14:paraId="3A173BE2">
      <w:pPr>
        <w:rPr>
          <w:rFonts w:hint="eastAsia"/>
          <w:color w:val="auto"/>
        </w:rPr>
      </w:pPr>
      <w:r>
        <w:rPr>
          <w:rFonts w:hint="eastAsia"/>
          <w:color w:val="auto"/>
        </w:rPr>
        <w:t>④工人宿舍单间面积为20m2，每间住宿人数8人。</w:t>
      </w:r>
    </w:p>
    <w:p w14:paraId="514701D9">
      <w:pPr>
        <w:pStyle w:val="7"/>
        <w:ind w:firstLine="0"/>
        <w:rPr>
          <w:rFonts w:ascii="宋体" w:hAnsi="宋体"/>
          <w:b w:val="0"/>
          <w:bCs w:val="0"/>
          <w:color w:val="auto"/>
        </w:rPr>
      </w:pPr>
      <w:bookmarkStart w:id="86" w:name="_Toc23611"/>
      <w:r>
        <w:rPr>
          <w:rFonts w:hint="eastAsia" w:ascii="宋体" w:hAnsi="宋体"/>
          <w:b w:val="0"/>
          <w:bCs w:val="0"/>
          <w:color w:val="auto"/>
        </w:rPr>
        <w:t>节地与施工用地保护</w:t>
      </w:r>
      <w:bookmarkEnd w:id="86"/>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8452"/>
      </w:tblGrid>
      <w:tr w14:paraId="506F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303E647">
            <w:pPr>
              <w:pStyle w:val="61"/>
              <w:spacing w:line="240" w:lineRule="auto"/>
              <w:jc w:val="center"/>
              <w:rPr>
                <w:rFonts w:hint="eastAsia" w:eastAsia="宋体" w:cs="Times New Roman"/>
                <w:color w:val="auto"/>
              </w:rPr>
            </w:pPr>
            <w:r>
              <w:rPr>
                <w:rFonts w:hint="eastAsia" w:eastAsia="宋体" w:cs="Times New Roman"/>
                <w:color w:val="auto"/>
              </w:rPr>
              <w:t>序号</w:t>
            </w:r>
          </w:p>
        </w:tc>
        <w:tc>
          <w:tcPr>
            <w:tcW w:w="4550" w:type="pct"/>
            <w:tcBorders>
              <w:top w:val="single" w:color="auto" w:sz="4" w:space="0"/>
              <w:left w:val="single" w:color="auto" w:sz="4" w:space="0"/>
              <w:bottom w:val="single" w:color="auto" w:sz="4" w:space="0"/>
              <w:right w:val="single" w:color="auto" w:sz="4" w:space="0"/>
            </w:tcBorders>
            <w:noWrap w:val="0"/>
            <w:vAlign w:val="center"/>
          </w:tcPr>
          <w:p w14:paraId="5390DE93">
            <w:pPr>
              <w:pStyle w:val="61"/>
              <w:spacing w:line="240" w:lineRule="auto"/>
              <w:jc w:val="center"/>
              <w:rPr>
                <w:rFonts w:hint="eastAsia" w:eastAsia="宋体" w:cs="Times New Roman"/>
                <w:color w:val="auto"/>
              </w:rPr>
            </w:pPr>
            <w:r>
              <w:rPr>
                <w:rFonts w:hint="eastAsia" w:eastAsia="宋体" w:cs="Times New Roman"/>
                <w:color w:val="auto"/>
              </w:rPr>
              <w:t>具体措施</w:t>
            </w:r>
          </w:p>
        </w:tc>
      </w:tr>
      <w:tr w14:paraId="49C7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85628B6">
            <w:pPr>
              <w:pStyle w:val="61"/>
              <w:spacing w:line="240" w:lineRule="auto"/>
              <w:jc w:val="center"/>
              <w:rPr>
                <w:rFonts w:hint="eastAsia" w:eastAsia="宋体" w:cs="Times New Roman"/>
                <w:color w:val="auto"/>
              </w:rPr>
            </w:pPr>
            <w:r>
              <w:rPr>
                <w:rFonts w:hint="eastAsia" w:eastAsia="宋体" w:cs="Times New Roman"/>
                <w:color w:val="auto"/>
              </w:rPr>
              <w:t>1</w:t>
            </w:r>
          </w:p>
        </w:tc>
        <w:tc>
          <w:tcPr>
            <w:tcW w:w="4550" w:type="pct"/>
            <w:tcBorders>
              <w:top w:val="single" w:color="auto" w:sz="4" w:space="0"/>
              <w:left w:val="single" w:color="auto" w:sz="4" w:space="0"/>
              <w:bottom w:val="single" w:color="auto" w:sz="4" w:space="0"/>
              <w:right w:val="single" w:color="auto" w:sz="4" w:space="0"/>
            </w:tcBorders>
            <w:noWrap w:val="0"/>
            <w:vAlign w:val="center"/>
          </w:tcPr>
          <w:p w14:paraId="3524C238">
            <w:pPr>
              <w:pStyle w:val="61"/>
              <w:spacing w:line="240" w:lineRule="auto"/>
              <w:jc w:val="left"/>
              <w:rPr>
                <w:rFonts w:hint="eastAsia" w:eastAsia="宋体" w:cs="Times New Roman"/>
                <w:color w:val="auto"/>
              </w:rPr>
            </w:pPr>
            <w:r>
              <w:rPr>
                <w:rFonts w:hint="eastAsia" w:eastAsia="宋体" w:cs="Times New Roman"/>
                <w:color w:val="auto"/>
              </w:rPr>
              <w:t>在总平面的布置过程中，仓库、钢筋及木工加工房、作业棚、相关材料堆场等布置将尽量靠近已有临时交通线路及外部永久交通路线，达到缩短运输距离的原则。</w:t>
            </w:r>
          </w:p>
        </w:tc>
      </w:tr>
      <w:tr w14:paraId="42BA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E6452ED">
            <w:pPr>
              <w:pStyle w:val="61"/>
              <w:spacing w:line="240" w:lineRule="auto"/>
              <w:jc w:val="center"/>
              <w:rPr>
                <w:rFonts w:hint="eastAsia" w:eastAsia="宋体" w:cs="Times New Roman"/>
                <w:color w:val="auto"/>
              </w:rPr>
            </w:pPr>
            <w:r>
              <w:rPr>
                <w:rFonts w:hint="eastAsia" w:eastAsia="宋体" w:cs="Times New Roman"/>
                <w:color w:val="auto"/>
              </w:rPr>
              <w:t>2</w:t>
            </w:r>
          </w:p>
        </w:tc>
        <w:tc>
          <w:tcPr>
            <w:tcW w:w="4550" w:type="pct"/>
            <w:tcBorders>
              <w:top w:val="single" w:color="auto" w:sz="4" w:space="0"/>
              <w:left w:val="single" w:color="auto" w:sz="4" w:space="0"/>
              <w:bottom w:val="single" w:color="auto" w:sz="4" w:space="0"/>
              <w:right w:val="single" w:color="auto" w:sz="4" w:space="0"/>
            </w:tcBorders>
            <w:noWrap w:val="0"/>
            <w:vAlign w:val="center"/>
          </w:tcPr>
          <w:p w14:paraId="311F0B22">
            <w:pPr>
              <w:pStyle w:val="61"/>
              <w:spacing w:line="240" w:lineRule="auto"/>
              <w:jc w:val="left"/>
              <w:rPr>
                <w:rFonts w:hint="eastAsia" w:eastAsia="宋体" w:cs="Times New Roman"/>
                <w:color w:val="auto"/>
              </w:rPr>
            </w:pPr>
            <w:r>
              <w:rPr>
                <w:rFonts w:hint="eastAsia" w:eastAsia="宋体" w:cs="Times New Roman"/>
                <w:color w:val="auto"/>
              </w:rPr>
              <w:t>临时办公室和生活用房采用经济、美观、占地面积小、对周边地貌环境影响较小，且适合于施工平面布置动态调整的多层轻钢活动房。</w:t>
            </w:r>
          </w:p>
        </w:tc>
      </w:tr>
    </w:tbl>
    <w:p w14:paraId="19B30007">
      <w:pPr>
        <w:rPr>
          <w:rFonts w:hint="eastAsia"/>
          <w:color w:val="auto"/>
        </w:rPr>
        <w:sectPr>
          <w:headerReference r:id="rId21" w:type="default"/>
          <w:pgSz w:w="11906" w:h="16838"/>
          <w:pgMar w:top="1418" w:right="1418" w:bottom="1418" w:left="1418" w:header="851" w:footer="992" w:gutter="0"/>
          <w:cols w:space="720" w:num="1"/>
          <w:docGrid w:type="lines" w:linePitch="326" w:charSpace="0"/>
        </w:sectPr>
      </w:pPr>
    </w:p>
    <w:p w14:paraId="50646B6A">
      <w:pPr>
        <w:pStyle w:val="3"/>
        <w:rPr>
          <w:color w:val="auto"/>
        </w:rPr>
      </w:pPr>
      <w:bookmarkStart w:id="87" w:name="_Toc31575"/>
      <w:bookmarkStart w:id="88" w:name="_Toc101458191"/>
      <w:r>
        <w:rPr>
          <w:rFonts w:hint="eastAsia"/>
          <w:color w:val="auto"/>
        </w:rPr>
        <w:t>人力资源节约与职业健康安全措施</w:t>
      </w:r>
      <w:bookmarkEnd w:id="87"/>
      <w:bookmarkEnd w:id="88"/>
    </w:p>
    <w:p w14:paraId="453B5435">
      <w:pPr>
        <w:pStyle w:val="4"/>
        <w:rPr>
          <w:color w:val="auto"/>
        </w:rPr>
      </w:pPr>
      <w:bookmarkStart w:id="89" w:name="_Toc101458192"/>
      <w:bookmarkStart w:id="90" w:name="_Toc6661"/>
      <w:r>
        <w:rPr>
          <w:rFonts w:hint="eastAsia"/>
          <w:color w:val="auto"/>
        </w:rPr>
        <w:t>人力资源节约措施</w:t>
      </w:r>
      <w:bookmarkEnd w:id="89"/>
      <w:bookmarkEnd w:id="90"/>
    </w:p>
    <w:p w14:paraId="128C06DA">
      <w:pPr>
        <w:rPr>
          <w:rFonts w:hint="eastAsia" w:ascii="Times New Roman" w:hAnsi="Times New Roman" w:eastAsia="宋体" w:cs="Times New Roman"/>
          <w:color w:val="auto"/>
        </w:rPr>
      </w:pPr>
      <w:r>
        <w:rPr>
          <w:rFonts w:hint="eastAsia" w:ascii="Times New Roman" w:hAnsi="Times New Roman" w:eastAsia="宋体" w:cs="Times New Roman"/>
          <w:color w:val="auto"/>
        </w:rPr>
        <w:t>1、合理安排工序与施工进度，分散施工人员高峰值，建立人力资源节约和保护管理制度，人力资源节约与保护内容在绿色施工策划文件中体现。</w:t>
      </w:r>
    </w:p>
    <w:p w14:paraId="402EF320">
      <w:pPr>
        <w:rPr>
          <w:rFonts w:hint="eastAsia" w:ascii="Times New Roman" w:hAnsi="Times New Roman" w:eastAsia="宋体" w:cs="Times New Roman"/>
          <w:color w:val="auto"/>
        </w:rPr>
      </w:pPr>
      <w:r>
        <w:rPr>
          <w:rFonts w:hint="eastAsia" w:ascii="Times New Roman" w:hAnsi="Times New Roman" w:eastAsia="宋体" w:cs="Times New Roman"/>
          <w:color w:val="auto"/>
        </w:rPr>
        <w:t>2、施工现场人员保证全员实名制管理。</w:t>
      </w:r>
    </w:p>
    <w:p w14:paraId="0281457D">
      <w:pPr>
        <w:pStyle w:val="4"/>
        <w:rPr>
          <w:rFonts w:hint="eastAsia"/>
          <w:color w:val="auto"/>
          <w:lang w:val="zh-CN"/>
        </w:rPr>
      </w:pPr>
      <w:bookmarkStart w:id="91" w:name="_Toc16294"/>
      <w:bookmarkStart w:id="92" w:name="_Toc101458193"/>
      <w:r>
        <w:rPr>
          <w:rFonts w:hint="eastAsia"/>
          <w:color w:val="auto"/>
          <w:lang w:val="zh-CN"/>
        </w:rPr>
        <w:t>职业健康安全措施</w:t>
      </w:r>
      <w:bookmarkEnd w:id="91"/>
      <w:bookmarkEnd w:id="92"/>
    </w:p>
    <w:p w14:paraId="6B3CAC0D">
      <w:pPr>
        <w:rPr>
          <w:rFonts w:hint="eastAsia" w:ascii="Times New Roman" w:hAnsi="Times New Roman" w:eastAsia="宋体" w:cs="Times New Roman"/>
          <w:color w:val="auto"/>
        </w:rPr>
      </w:pPr>
      <w:bookmarkStart w:id="93" w:name="_Hlk83655994"/>
      <w:r>
        <w:rPr>
          <w:rFonts w:hint="eastAsia" w:ascii="Times New Roman" w:hAnsi="Times New Roman" w:eastAsia="宋体" w:cs="Times New Roman"/>
          <w:color w:val="auto"/>
        </w:rPr>
        <w:t>制订施工防尘、防毒、防辐射等职业危害的措施，保障施工人员的长期职业健康。</w:t>
      </w:r>
    </w:p>
    <w:bookmarkEnd w:id="93"/>
    <w:p w14:paraId="73EEDB91">
      <w:pPr>
        <w:rPr>
          <w:rFonts w:hint="eastAsia" w:ascii="Times New Roman" w:hAnsi="Times New Roman" w:eastAsia="宋体" w:cs="Times New Roman"/>
          <w:color w:val="auto"/>
          <w:lang w:val="zh-CN"/>
        </w:rPr>
      </w:pPr>
      <w:r>
        <w:rPr>
          <w:rFonts w:hint="eastAsia" w:ascii="Times New Roman" w:hAnsi="Times New Roman" w:eastAsia="宋体" w:cs="Times New Roman"/>
          <w:color w:val="auto"/>
        </w:rPr>
        <w:t>加强对施工人员的管理，改善施工人员的生活条件，提供卫生、健康的工作与施工环境。</w:t>
      </w:r>
    </w:p>
    <w:p w14:paraId="74413BD9">
      <w:pPr>
        <w:rPr>
          <w:rFonts w:hint="eastAsia" w:ascii="Times New Roman" w:hAnsi="Times New Roman" w:eastAsia="宋体" w:cs="Times New Roman"/>
          <w:color w:val="auto"/>
          <w:lang w:val="zh-CN"/>
        </w:rPr>
      </w:pPr>
      <w:r>
        <w:rPr>
          <w:rFonts w:hint="eastAsia" w:ascii="Times New Roman" w:hAnsi="Times New Roman" w:eastAsia="宋体" w:cs="Times New Roman"/>
          <w:color w:val="auto"/>
        </w:rPr>
        <w:t>施工现场建立卫生急救、保健防疫制度及人员健康突发疾病应急预案，项目配备常用的药物及医疗用品，施工现场应设医务室，并应编制人员健康应急预案。</w:t>
      </w:r>
    </w:p>
    <w:p w14:paraId="0160DB59">
      <w:pPr>
        <w:rPr>
          <w:rFonts w:hint="eastAsia" w:ascii="Times New Roman" w:hAnsi="Times New Roman" w:eastAsia="宋体" w:cs="Times New Roman"/>
          <w:color w:val="auto"/>
          <w:lang w:val="zh-CN"/>
        </w:rPr>
      </w:pPr>
      <w:r>
        <w:rPr>
          <w:rFonts w:hint="eastAsia" w:ascii="Times New Roman" w:hAnsi="Times New Roman" w:eastAsia="宋体" w:cs="Times New Roman"/>
          <w:color w:val="auto"/>
          <w:lang w:val="zh-CN"/>
        </w:rPr>
        <w:t>制定项目《新冠疫情防控工作方案及应急预案》，严格落实疫情防治措施，能机动应对全国新冠疫情爆发事件。</w:t>
      </w:r>
    </w:p>
    <w:p w14:paraId="26290D4D">
      <w:pPr>
        <w:rPr>
          <w:rFonts w:hint="eastAsia" w:ascii="Times New Roman" w:hAnsi="Times New Roman" w:eastAsia="宋体" w:cs="Times New Roman"/>
          <w:color w:val="auto"/>
          <w:lang w:val="zh-CN"/>
        </w:rPr>
      </w:pPr>
      <w:r>
        <w:rPr>
          <w:rFonts w:hint="eastAsia" w:ascii="Times New Roman" w:hAnsi="Times New Roman" w:eastAsia="宋体" w:cs="Times New Roman"/>
          <w:color w:val="auto"/>
        </w:rPr>
        <w:t>管理人员及工人生活区食堂每天派专人清理，保持食堂清洁卫生，食堂内张贴相关卫生管理制度、餐饮服务许可证，炊事员按规定办理健康合格证，持证上岗。</w:t>
      </w:r>
    </w:p>
    <w:p w14:paraId="2FAFFAB7">
      <w:pPr>
        <w:rPr>
          <w:rFonts w:hint="eastAsia" w:ascii="Times New Roman" w:hAnsi="Times New Roman" w:eastAsia="宋体" w:cs="Times New Roman"/>
          <w:color w:val="auto"/>
          <w:lang w:val="zh-CN"/>
        </w:rPr>
      </w:pPr>
      <w:r>
        <w:rPr>
          <w:rFonts w:hint="eastAsia" w:ascii="Times New Roman" w:hAnsi="Times New Roman" w:eastAsia="宋体" w:cs="Times New Roman"/>
          <w:color w:val="auto"/>
        </w:rPr>
        <w:t>建立消毒管理制度，项目部安排专门保洁人员每天对生活区厕所、浴室、排水沟等阴暗角落进行清理、消毒，并对生活区进行灭虫灭蝇处理，确保达到防疫标准要求。</w:t>
      </w:r>
    </w:p>
    <w:p w14:paraId="71D130DC">
      <w:pPr>
        <w:rPr>
          <w:rFonts w:hint="eastAsia" w:ascii="Times New Roman" w:hAnsi="Times New Roman" w:eastAsia="宋体" w:cs="Times New Roman"/>
          <w:color w:val="auto"/>
          <w:lang w:val="zh-CN"/>
        </w:rPr>
      </w:pPr>
      <w:r>
        <w:rPr>
          <w:rFonts w:hint="eastAsia" w:ascii="Times New Roman" w:hAnsi="Times New Roman" w:eastAsia="宋体" w:cs="Times New Roman"/>
          <w:color w:val="auto"/>
        </w:rPr>
        <w:t>编制施工危险源清单并制定安全防护措施和应急预案，现场设置危险源公示牌。</w:t>
      </w:r>
    </w:p>
    <w:p w14:paraId="3929DF26">
      <w:pPr>
        <w:rPr>
          <w:rFonts w:hint="eastAsia" w:ascii="Times New Roman" w:hAnsi="Times New Roman" w:eastAsia="宋体" w:cs="Times New Roman"/>
          <w:color w:val="auto"/>
          <w:lang w:val="zh-CN"/>
        </w:rPr>
      </w:pPr>
      <w:r>
        <w:rPr>
          <w:rFonts w:hint="eastAsia" w:ascii="Times New Roman" w:hAnsi="Times New Roman" w:eastAsia="宋体" w:cs="Times New Roman"/>
          <w:color w:val="auto"/>
        </w:rPr>
        <w:t>现场易燃易爆物品仓库远离生活区，悬挂易燃易爆品管理制度于仓库外，并设置醒目的安全警示标识及消防设施。</w:t>
      </w:r>
    </w:p>
    <w:p w14:paraId="4356AB34">
      <w:pPr>
        <w:rPr>
          <w:rFonts w:hint="eastAsia" w:ascii="Times New Roman" w:hAnsi="Times New Roman" w:eastAsia="宋体" w:cs="Times New Roman"/>
          <w:color w:val="auto"/>
          <w:lang w:val="zh-CN"/>
        </w:rPr>
        <w:sectPr>
          <w:headerReference r:id="rId22" w:type="default"/>
          <w:pgSz w:w="11906" w:h="16838"/>
          <w:pgMar w:top="1418" w:right="1418" w:bottom="1418" w:left="1418" w:header="851" w:footer="992" w:gutter="0"/>
          <w:cols w:space="720" w:num="1"/>
          <w:docGrid w:type="lines" w:linePitch="326" w:charSpace="0"/>
        </w:sectPr>
      </w:pPr>
      <w:r>
        <w:rPr>
          <w:rFonts w:hint="eastAsia" w:ascii="Times New Roman" w:hAnsi="Times New Roman" w:eastAsia="宋体" w:cs="Times New Roman"/>
          <w:color w:val="auto"/>
        </w:rPr>
        <w:t>施工现场出入口、临边洞口、安全通道、配电箱、基坑临边等场内危险部位设置明显的安全警示标识不少于20块。</w:t>
      </w:r>
    </w:p>
    <w:p w14:paraId="1B19EBC2">
      <w:pPr>
        <w:pStyle w:val="3"/>
        <w:rPr>
          <w:color w:val="auto"/>
        </w:rPr>
      </w:pPr>
      <w:bookmarkStart w:id="94" w:name="_Toc10419"/>
      <w:r>
        <w:rPr>
          <w:rFonts w:hint="eastAsia"/>
          <w:color w:val="auto"/>
        </w:rPr>
        <w:t>绿色建筑</w:t>
      </w:r>
      <w:r>
        <w:rPr>
          <w:rFonts w:hint="eastAsia"/>
          <w:color w:val="auto"/>
          <w:lang w:val="en-US" w:eastAsia="zh-CN"/>
        </w:rPr>
        <w:t>评价</w:t>
      </w:r>
      <w:bookmarkEnd w:id="94"/>
    </w:p>
    <w:p w14:paraId="58D03FAA">
      <w:pPr>
        <w:pStyle w:val="4"/>
        <w:rPr>
          <w:color w:val="auto"/>
        </w:rPr>
      </w:pPr>
      <w:bookmarkStart w:id="95" w:name="_Toc751"/>
      <w:r>
        <w:rPr>
          <w:rFonts w:hint="eastAsia"/>
          <w:color w:val="auto"/>
          <w:lang w:val="en-US" w:eastAsia="zh-CN"/>
        </w:rPr>
        <w:t>绿色施工评价管理</w:t>
      </w:r>
      <w:bookmarkEnd w:id="95"/>
    </w:p>
    <w:p w14:paraId="24BD5D82">
      <w:pPr>
        <w:rPr>
          <w:rFonts w:hint="eastAsia" w:ascii="Times New Roman" w:hAnsi="Times New Roman" w:eastAsia="宋体" w:cs="Times New Roman"/>
          <w:color w:val="auto"/>
          <w:lang w:val="zh-CN"/>
        </w:rPr>
      </w:pPr>
      <w:r>
        <w:rPr>
          <w:rFonts w:hint="eastAsia" w:ascii="Times New Roman" w:hAnsi="Times New Roman" w:eastAsia="宋体" w:cs="Times New Roman"/>
          <w:color w:val="auto"/>
          <w:lang w:val="zh-CN"/>
        </w:rPr>
        <w:t>以《建筑工程绿色施工评价标准》（</w:t>
      </w:r>
      <w:r>
        <w:rPr>
          <w:rFonts w:hint="eastAsia" w:ascii="Times New Roman" w:hAnsi="Times New Roman" w:eastAsia="宋体" w:cs="Times New Roman"/>
          <w:color w:val="auto"/>
          <w:lang w:val="en-US" w:eastAsia="zh-CN"/>
        </w:rPr>
        <w:t>GB/T50640-2010</w:t>
      </w:r>
      <w:r>
        <w:rPr>
          <w:rFonts w:hint="eastAsia" w:ascii="Times New Roman" w:hAnsi="Times New Roman" w:eastAsia="宋体" w:cs="Times New Roman"/>
          <w:color w:val="auto"/>
          <w:lang w:val="zh-CN"/>
        </w:rPr>
        <w:t>）文件来建立健全的检查评估制度，并结合工程特点，对绿色施工的效果及采用的新技术、新设备、新材料与新工艺进行自评估，同时成立绿色施工专家委员会对绿色施工进行咨询、研究、决策和评估。</w:t>
      </w:r>
    </w:p>
    <w:p w14:paraId="06F0C486">
      <w:pPr>
        <w:rPr>
          <w:rFonts w:hint="eastAsia" w:ascii="Times New Roman" w:hAnsi="Times New Roman" w:eastAsia="宋体" w:cs="Times New Roman"/>
          <w:color w:val="auto"/>
          <w:lang w:val="zh-CN"/>
        </w:rPr>
      </w:pPr>
      <w:r>
        <w:rPr>
          <w:rFonts w:hint="eastAsia" w:ascii="Times New Roman" w:hAnsi="Times New Roman" w:eastAsia="宋体" w:cs="Times New Roman"/>
          <w:color w:val="auto"/>
          <w:lang w:val="zh-CN"/>
        </w:rPr>
        <w:t>每月由项目技术部组织，各部门参与自评，且每月至少开展1次自我评价，以每个新开工序为一阶段至少开展1次自我评价。</w:t>
      </w:r>
    </w:p>
    <w:p w14:paraId="498EED32">
      <w:pPr>
        <w:rPr>
          <w:rFonts w:hint="eastAsia" w:ascii="Times New Roman" w:hAnsi="Times New Roman" w:eastAsia="宋体" w:cs="Times New Roman"/>
          <w:color w:val="auto"/>
          <w:lang w:val="zh-CN"/>
        </w:rPr>
      </w:pPr>
      <w:r>
        <w:rPr>
          <w:rFonts w:hint="eastAsia" w:ascii="Times New Roman" w:hAnsi="Times New Roman" w:eastAsia="宋体" w:cs="Times New Roman"/>
          <w:color w:val="auto"/>
          <w:lang w:val="zh-CN"/>
        </w:rPr>
        <w:t>评价程序：收集材料——评价打分——对比分析——总结改进</w:t>
      </w:r>
    </w:p>
    <w:p w14:paraId="31FD4BBE">
      <w:pPr>
        <w:rPr>
          <w:rFonts w:hint="eastAsia" w:ascii="Times New Roman" w:hAnsi="Times New Roman" w:eastAsia="宋体" w:cs="Times New Roman"/>
          <w:color w:val="auto"/>
          <w:lang w:val="zh-CN"/>
        </w:rPr>
      </w:pPr>
      <w:r>
        <w:rPr>
          <w:rFonts w:hint="eastAsia" w:ascii="Times New Roman" w:hAnsi="Times New Roman" w:eastAsia="宋体" w:cs="Times New Roman"/>
          <w:color w:val="auto"/>
          <w:lang w:val="zh-CN"/>
        </w:rPr>
        <w:t>项目实施过程中，联合建设单位、监理单位分阶段对现场绿色施工实施措施进行评估，对实施不到位的部位进行整改落实，并制作备忘录。</w:t>
      </w:r>
    </w:p>
    <w:p w14:paraId="6BAC9516">
      <w:pPr>
        <w:rPr>
          <w:rFonts w:hint="eastAsia" w:ascii="Times New Roman" w:hAnsi="Times New Roman" w:eastAsia="宋体" w:cs="Times New Roman"/>
          <w:color w:val="auto"/>
          <w:lang w:val="zh-CN"/>
        </w:rPr>
      </w:pPr>
      <w:r>
        <w:rPr>
          <w:rFonts w:hint="eastAsia" w:ascii="Times New Roman" w:hAnsi="Times New Roman" w:eastAsia="宋体" w:cs="Times New Roman"/>
          <w:color w:val="auto"/>
          <w:lang w:val="zh-CN"/>
        </w:rPr>
        <w:t>建立绿色施工奖惩制度，对绿色施工措施落实较好的班组给与相应经济奖励，违背绿色施工要求的班组给与经济处罚。</w:t>
      </w:r>
    </w:p>
    <w:p w14:paraId="52012BFC">
      <w:pPr>
        <w:pStyle w:val="4"/>
        <w:rPr>
          <w:color w:val="auto"/>
        </w:rPr>
      </w:pPr>
      <w:bookmarkStart w:id="96" w:name="_Toc2690"/>
      <w:r>
        <w:rPr>
          <w:rFonts w:hint="eastAsia"/>
          <w:color w:val="auto"/>
          <w:lang w:val="en-US" w:eastAsia="zh-CN"/>
        </w:rPr>
        <w:t>绿色建筑评价管理</w:t>
      </w:r>
      <w:bookmarkEnd w:id="96"/>
    </w:p>
    <w:p w14:paraId="6B3DBFCA">
      <w:pPr>
        <w:pStyle w:val="5"/>
        <w:rPr>
          <w:rFonts w:hint="default"/>
          <w:color w:val="auto"/>
          <w:lang w:val="en-US"/>
        </w:rPr>
      </w:pPr>
      <w:r>
        <w:rPr>
          <w:rFonts w:hint="eastAsia"/>
          <w:color w:val="auto"/>
          <w:lang w:val="en-US" w:eastAsia="zh-CN"/>
        </w:rPr>
        <w:t>绿色建筑评价内容详见本项目施工蓝图及经审查的绿建设计资料，以下罗列安全耐久的相关评价作为示例。</w:t>
      </w:r>
    </w:p>
    <w:p w14:paraId="3ACB1A23">
      <w:pPr>
        <w:pStyle w:val="7"/>
        <w:rPr>
          <w:color w:val="auto"/>
        </w:rPr>
      </w:pPr>
      <w:bookmarkStart w:id="97" w:name="_Toc28067"/>
      <w:r>
        <w:rPr>
          <w:rFonts w:hint="eastAsia"/>
          <w:color w:val="auto"/>
        </w:rPr>
        <w:t>安全耐久评分表</w:t>
      </w:r>
      <w:bookmarkEnd w:id="97"/>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750"/>
        <w:gridCol w:w="6524"/>
        <w:gridCol w:w="693"/>
        <w:gridCol w:w="654"/>
      </w:tblGrid>
      <w:tr w14:paraId="3D78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noWrap w:val="0"/>
            <w:vAlign w:val="center"/>
          </w:tcPr>
          <w:p w14:paraId="2E846CD5">
            <w:pPr>
              <w:pStyle w:val="61"/>
              <w:spacing w:line="240" w:lineRule="auto"/>
              <w:rPr>
                <w:color w:val="auto"/>
              </w:rPr>
            </w:pPr>
            <w:r>
              <w:rPr>
                <w:color w:val="auto"/>
              </w:rPr>
              <w:t>类别</w:t>
            </w:r>
          </w:p>
        </w:tc>
        <w:tc>
          <w:tcPr>
            <w:tcW w:w="404" w:type="pct"/>
            <w:noWrap w:val="0"/>
            <w:vAlign w:val="center"/>
          </w:tcPr>
          <w:p w14:paraId="366B0203">
            <w:pPr>
              <w:pStyle w:val="61"/>
              <w:spacing w:line="240" w:lineRule="auto"/>
              <w:rPr>
                <w:color w:val="auto"/>
              </w:rPr>
            </w:pPr>
            <w:r>
              <w:rPr>
                <w:color w:val="auto"/>
              </w:rPr>
              <w:t>编号</w:t>
            </w:r>
          </w:p>
        </w:tc>
        <w:tc>
          <w:tcPr>
            <w:tcW w:w="3511" w:type="pct"/>
            <w:noWrap w:val="0"/>
            <w:vAlign w:val="center"/>
          </w:tcPr>
          <w:p w14:paraId="4AB6B3B5">
            <w:pPr>
              <w:pStyle w:val="61"/>
              <w:spacing w:line="240" w:lineRule="auto"/>
              <w:rPr>
                <w:color w:val="auto"/>
              </w:rPr>
            </w:pPr>
            <w:r>
              <w:rPr>
                <w:color w:val="auto"/>
              </w:rPr>
              <w:t>标准条文</w:t>
            </w:r>
          </w:p>
        </w:tc>
        <w:tc>
          <w:tcPr>
            <w:tcW w:w="373" w:type="pct"/>
            <w:noWrap w:val="0"/>
            <w:vAlign w:val="center"/>
          </w:tcPr>
          <w:p w14:paraId="05B149F3">
            <w:pPr>
              <w:pStyle w:val="61"/>
              <w:spacing w:line="240" w:lineRule="auto"/>
              <w:rPr>
                <w:color w:val="auto"/>
              </w:rPr>
            </w:pPr>
            <w:r>
              <w:rPr>
                <w:color w:val="auto"/>
              </w:rPr>
              <w:t>分值</w:t>
            </w:r>
          </w:p>
        </w:tc>
        <w:tc>
          <w:tcPr>
            <w:tcW w:w="352" w:type="pct"/>
            <w:noWrap w:val="0"/>
            <w:vAlign w:val="center"/>
          </w:tcPr>
          <w:p w14:paraId="3B76BE05">
            <w:pPr>
              <w:pStyle w:val="61"/>
              <w:spacing w:line="240" w:lineRule="auto"/>
              <w:rPr>
                <w:color w:val="auto"/>
              </w:rPr>
            </w:pPr>
            <w:r>
              <w:rPr>
                <w:color w:val="auto"/>
              </w:rPr>
              <w:t>自评得分</w:t>
            </w:r>
          </w:p>
        </w:tc>
      </w:tr>
      <w:tr w14:paraId="5084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restart"/>
            <w:shd w:val="clear" w:color="auto" w:fill="auto"/>
            <w:noWrap w:val="0"/>
            <w:vAlign w:val="center"/>
          </w:tcPr>
          <w:p w14:paraId="5E2A092E">
            <w:pPr>
              <w:pStyle w:val="61"/>
              <w:spacing w:line="240" w:lineRule="auto"/>
              <w:rPr>
                <w:color w:val="auto"/>
              </w:rPr>
            </w:pPr>
            <w:r>
              <w:rPr>
                <w:color w:val="auto"/>
              </w:rPr>
              <w:t>控制项</w:t>
            </w:r>
          </w:p>
        </w:tc>
        <w:tc>
          <w:tcPr>
            <w:tcW w:w="404" w:type="pct"/>
            <w:shd w:val="clear" w:color="auto" w:fill="auto"/>
            <w:noWrap w:val="0"/>
            <w:vAlign w:val="center"/>
          </w:tcPr>
          <w:p w14:paraId="378CFCF9">
            <w:pPr>
              <w:pStyle w:val="61"/>
              <w:spacing w:line="240" w:lineRule="auto"/>
              <w:rPr>
                <w:color w:val="auto"/>
              </w:rPr>
            </w:pPr>
            <w:r>
              <w:rPr>
                <w:color w:val="auto"/>
              </w:rPr>
              <w:t>4.1.1</w:t>
            </w:r>
          </w:p>
        </w:tc>
        <w:tc>
          <w:tcPr>
            <w:tcW w:w="3511" w:type="pct"/>
            <w:shd w:val="clear" w:color="auto" w:fill="auto"/>
            <w:noWrap w:val="0"/>
            <w:vAlign w:val="center"/>
          </w:tcPr>
          <w:p w14:paraId="28C084CC">
            <w:pPr>
              <w:pStyle w:val="61"/>
              <w:spacing w:line="240" w:lineRule="auto"/>
              <w:rPr>
                <w:color w:val="auto"/>
              </w:rPr>
            </w:pPr>
            <w:r>
              <w:rPr>
                <w:color w:val="auto"/>
              </w:rPr>
              <w:t>场地应避开滑坡、泥石流等地质危险地段，易发生洪涝区有可靠的防涝基础设施；场地应无危险化学品、易燃易爆源的威胁，无电磁辐射、含氡土壤的危害。</w:t>
            </w:r>
          </w:p>
        </w:tc>
        <w:tc>
          <w:tcPr>
            <w:tcW w:w="373" w:type="pct"/>
            <w:shd w:val="clear" w:color="auto" w:fill="A6A6A6"/>
            <w:noWrap w:val="0"/>
            <w:vAlign w:val="center"/>
          </w:tcPr>
          <w:p w14:paraId="08DABB40">
            <w:pPr>
              <w:pStyle w:val="61"/>
              <w:spacing w:line="240" w:lineRule="auto"/>
              <w:rPr>
                <w:color w:val="auto"/>
              </w:rPr>
            </w:pPr>
            <w:r>
              <w:rPr>
                <w:color w:val="auto"/>
              </w:rPr>
              <w:t>—</w:t>
            </w:r>
          </w:p>
        </w:tc>
        <w:tc>
          <w:tcPr>
            <w:tcW w:w="352" w:type="pct"/>
            <w:noWrap w:val="0"/>
            <w:vAlign w:val="center"/>
          </w:tcPr>
          <w:p w14:paraId="0D80D38D">
            <w:pPr>
              <w:pStyle w:val="61"/>
              <w:spacing w:line="240" w:lineRule="auto"/>
              <w:rPr>
                <w:color w:val="auto"/>
              </w:rPr>
            </w:pPr>
          </w:p>
        </w:tc>
      </w:tr>
      <w:tr w14:paraId="25D1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continue"/>
            <w:shd w:val="clear" w:color="auto" w:fill="auto"/>
            <w:noWrap w:val="0"/>
            <w:vAlign w:val="center"/>
          </w:tcPr>
          <w:p w14:paraId="29F7F941">
            <w:pPr>
              <w:pStyle w:val="61"/>
              <w:spacing w:line="240" w:lineRule="auto"/>
              <w:rPr>
                <w:color w:val="auto"/>
              </w:rPr>
            </w:pPr>
          </w:p>
        </w:tc>
        <w:tc>
          <w:tcPr>
            <w:tcW w:w="404" w:type="pct"/>
            <w:shd w:val="clear" w:color="auto" w:fill="auto"/>
            <w:noWrap w:val="0"/>
            <w:vAlign w:val="center"/>
          </w:tcPr>
          <w:p w14:paraId="3DF46CAE">
            <w:pPr>
              <w:pStyle w:val="61"/>
              <w:spacing w:line="240" w:lineRule="auto"/>
              <w:rPr>
                <w:color w:val="auto"/>
              </w:rPr>
            </w:pPr>
            <w:r>
              <w:rPr>
                <w:color w:val="auto"/>
              </w:rPr>
              <w:t>4.1.2</w:t>
            </w:r>
          </w:p>
        </w:tc>
        <w:tc>
          <w:tcPr>
            <w:tcW w:w="3511" w:type="pct"/>
            <w:shd w:val="clear" w:color="auto" w:fill="auto"/>
            <w:noWrap w:val="0"/>
            <w:vAlign w:val="center"/>
          </w:tcPr>
          <w:p w14:paraId="6A011006">
            <w:pPr>
              <w:pStyle w:val="61"/>
              <w:spacing w:line="240" w:lineRule="auto"/>
              <w:rPr>
                <w:color w:val="auto"/>
              </w:rPr>
            </w:pPr>
            <w:r>
              <w:rPr>
                <w:color w:val="auto"/>
              </w:rPr>
              <w:t>建筑结构应满足承载力和建筑使用功能要求。建筑外墙、屋面门窗幕墙及外保温等围护结构应满足安全、耐久和防护的要求。</w:t>
            </w:r>
          </w:p>
        </w:tc>
        <w:tc>
          <w:tcPr>
            <w:tcW w:w="373" w:type="pct"/>
            <w:shd w:val="clear" w:color="auto" w:fill="A6A6A6"/>
            <w:noWrap w:val="0"/>
            <w:vAlign w:val="center"/>
          </w:tcPr>
          <w:p w14:paraId="14DB75CB">
            <w:pPr>
              <w:pStyle w:val="61"/>
              <w:spacing w:line="240" w:lineRule="auto"/>
              <w:rPr>
                <w:color w:val="auto"/>
              </w:rPr>
            </w:pPr>
            <w:r>
              <w:rPr>
                <w:color w:val="auto"/>
              </w:rPr>
              <w:t>—</w:t>
            </w:r>
          </w:p>
        </w:tc>
        <w:tc>
          <w:tcPr>
            <w:tcW w:w="352" w:type="pct"/>
            <w:noWrap w:val="0"/>
            <w:vAlign w:val="center"/>
          </w:tcPr>
          <w:p w14:paraId="112269F5">
            <w:pPr>
              <w:pStyle w:val="61"/>
              <w:spacing w:line="240" w:lineRule="auto"/>
              <w:rPr>
                <w:color w:val="auto"/>
              </w:rPr>
            </w:pPr>
          </w:p>
        </w:tc>
      </w:tr>
      <w:tr w14:paraId="0048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continue"/>
            <w:shd w:val="clear" w:color="auto" w:fill="auto"/>
            <w:noWrap w:val="0"/>
            <w:vAlign w:val="center"/>
          </w:tcPr>
          <w:p w14:paraId="2EA8AC7E">
            <w:pPr>
              <w:pStyle w:val="61"/>
              <w:spacing w:line="240" w:lineRule="auto"/>
              <w:rPr>
                <w:color w:val="auto"/>
              </w:rPr>
            </w:pPr>
          </w:p>
        </w:tc>
        <w:tc>
          <w:tcPr>
            <w:tcW w:w="404" w:type="pct"/>
            <w:shd w:val="clear" w:color="auto" w:fill="auto"/>
            <w:noWrap w:val="0"/>
            <w:vAlign w:val="center"/>
          </w:tcPr>
          <w:p w14:paraId="629E9A66">
            <w:pPr>
              <w:pStyle w:val="61"/>
              <w:spacing w:line="240" w:lineRule="auto"/>
              <w:rPr>
                <w:color w:val="auto"/>
              </w:rPr>
            </w:pPr>
            <w:r>
              <w:rPr>
                <w:color w:val="auto"/>
              </w:rPr>
              <w:t>4.1.3</w:t>
            </w:r>
          </w:p>
        </w:tc>
        <w:tc>
          <w:tcPr>
            <w:tcW w:w="3511" w:type="pct"/>
            <w:shd w:val="clear" w:color="auto" w:fill="auto"/>
            <w:noWrap w:val="0"/>
            <w:vAlign w:val="center"/>
          </w:tcPr>
          <w:p w14:paraId="478242B4">
            <w:pPr>
              <w:pStyle w:val="61"/>
              <w:spacing w:line="240" w:lineRule="auto"/>
              <w:rPr>
                <w:color w:val="auto"/>
              </w:rPr>
            </w:pPr>
            <w:r>
              <w:rPr>
                <w:color w:val="auto"/>
              </w:rPr>
              <w:t>外遮阳、太阳能设施、空调室外机位、外墙花池等部外部设施应与建筑主体结构统一设计、施工，并应具备安装、检修与维护条件。</w:t>
            </w:r>
          </w:p>
        </w:tc>
        <w:tc>
          <w:tcPr>
            <w:tcW w:w="373" w:type="pct"/>
            <w:shd w:val="clear" w:color="auto" w:fill="A6A6A6"/>
            <w:noWrap w:val="0"/>
            <w:vAlign w:val="center"/>
          </w:tcPr>
          <w:p w14:paraId="770E958A">
            <w:pPr>
              <w:pStyle w:val="61"/>
              <w:spacing w:line="240" w:lineRule="auto"/>
              <w:rPr>
                <w:color w:val="auto"/>
              </w:rPr>
            </w:pPr>
            <w:r>
              <w:rPr>
                <w:color w:val="auto"/>
              </w:rPr>
              <w:t>—</w:t>
            </w:r>
          </w:p>
        </w:tc>
        <w:tc>
          <w:tcPr>
            <w:tcW w:w="352" w:type="pct"/>
            <w:noWrap w:val="0"/>
            <w:vAlign w:val="center"/>
          </w:tcPr>
          <w:p w14:paraId="5CA37FEE">
            <w:pPr>
              <w:pStyle w:val="61"/>
              <w:spacing w:line="240" w:lineRule="auto"/>
              <w:rPr>
                <w:color w:val="auto"/>
              </w:rPr>
            </w:pPr>
          </w:p>
        </w:tc>
      </w:tr>
      <w:tr w14:paraId="06E8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continue"/>
            <w:shd w:val="clear" w:color="auto" w:fill="auto"/>
            <w:noWrap w:val="0"/>
            <w:vAlign w:val="center"/>
          </w:tcPr>
          <w:p w14:paraId="1257407A">
            <w:pPr>
              <w:pStyle w:val="61"/>
              <w:spacing w:line="240" w:lineRule="auto"/>
              <w:rPr>
                <w:color w:val="auto"/>
              </w:rPr>
            </w:pPr>
          </w:p>
        </w:tc>
        <w:tc>
          <w:tcPr>
            <w:tcW w:w="404" w:type="pct"/>
            <w:shd w:val="clear" w:color="auto" w:fill="auto"/>
            <w:noWrap w:val="0"/>
            <w:vAlign w:val="center"/>
          </w:tcPr>
          <w:p w14:paraId="47FC99F9">
            <w:pPr>
              <w:pStyle w:val="61"/>
              <w:spacing w:line="240" w:lineRule="auto"/>
              <w:rPr>
                <w:color w:val="auto"/>
              </w:rPr>
            </w:pPr>
            <w:r>
              <w:rPr>
                <w:color w:val="auto"/>
              </w:rPr>
              <w:t>4.1.4</w:t>
            </w:r>
          </w:p>
        </w:tc>
        <w:tc>
          <w:tcPr>
            <w:tcW w:w="3511" w:type="pct"/>
            <w:shd w:val="clear" w:color="auto" w:fill="auto"/>
            <w:noWrap w:val="0"/>
            <w:vAlign w:val="center"/>
          </w:tcPr>
          <w:p w14:paraId="248847E0">
            <w:pPr>
              <w:pStyle w:val="61"/>
              <w:spacing w:line="240" w:lineRule="auto"/>
              <w:rPr>
                <w:color w:val="auto"/>
              </w:rPr>
            </w:pPr>
            <w:r>
              <w:rPr>
                <w:color w:val="auto"/>
              </w:rPr>
              <w:t>建筑内部的非结构件、设备及附属设施等应连接牢固并能适应主体结构变形。</w:t>
            </w:r>
          </w:p>
        </w:tc>
        <w:tc>
          <w:tcPr>
            <w:tcW w:w="373" w:type="pct"/>
            <w:shd w:val="clear" w:color="auto" w:fill="A6A6A6"/>
            <w:noWrap w:val="0"/>
            <w:vAlign w:val="center"/>
          </w:tcPr>
          <w:p w14:paraId="21B10591">
            <w:pPr>
              <w:pStyle w:val="61"/>
              <w:spacing w:line="240" w:lineRule="auto"/>
              <w:rPr>
                <w:color w:val="auto"/>
              </w:rPr>
            </w:pPr>
            <w:r>
              <w:rPr>
                <w:color w:val="auto"/>
              </w:rPr>
              <w:t>—</w:t>
            </w:r>
          </w:p>
        </w:tc>
        <w:tc>
          <w:tcPr>
            <w:tcW w:w="352" w:type="pct"/>
            <w:noWrap w:val="0"/>
            <w:vAlign w:val="center"/>
          </w:tcPr>
          <w:p w14:paraId="28BAB9CC">
            <w:pPr>
              <w:pStyle w:val="61"/>
              <w:spacing w:line="240" w:lineRule="auto"/>
              <w:rPr>
                <w:color w:val="auto"/>
              </w:rPr>
            </w:pPr>
          </w:p>
        </w:tc>
      </w:tr>
      <w:tr w14:paraId="3B55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continue"/>
            <w:shd w:val="clear" w:color="auto" w:fill="auto"/>
            <w:noWrap w:val="0"/>
            <w:vAlign w:val="center"/>
          </w:tcPr>
          <w:p w14:paraId="2717738B">
            <w:pPr>
              <w:pStyle w:val="61"/>
              <w:spacing w:line="240" w:lineRule="auto"/>
              <w:rPr>
                <w:color w:val="auto"/>
              </w:rPr>
            </w:pPr>
          </w:p>
        </w:tc>
        <w:tc>
          <w:tcPr>
            <w:tcW w:w="404" w:type="pct"/>
            <w:shd w:val="clear" w:color="auto" w:fill="auto"/>
            <w:noWrap w:val="0"/>
            <w:vAlign w:val="center"/>
          </w:tcPr>
          <w:p w14:paraId="62A36B1C">
            <w:pPr>
              <w:pStyle w:val="61"/>
              <w:spacing w:line="240" w:lineRule="auto"/>
              <w:rPr>
                <w:color w:val="auto"/>
              </w:rPr>
            </w:pPr>
            <w:r>
              <w:rPr>
                <w:color w:val="auto"/>
              </w:rPr>
              <w:t>4.1.5</w:t>
            </w:r>
          </w:p>
        </w:tc>
        <w:tc>
          <w:tcPr>
            <w:tcW w:w="3511" w:type="pct"/>
            <w:shd w:val="clear" w:color="auto" w:fill="auto"/>
            <w:noWrap w:val="0"/>
            <w:vAlign w:val="center"/>
          </w:tcPr>
          <w:p w14:paraId="15896B86">
            <w:pPr>
              <w:pStyle w:val="61"/>
              <w:spacing w:line="240" w:lineRule="auto"/>
              <w:rPr>
                <w:color w:val="auto"/>
              </w:rPr>
            </w:pPr>
            <w:r>
              <w:rPr>
                <w:color w:val="auto"/>
              </w:rPr>
              <w:t>建筑外门窗必须安装牢靠，其抗风压性能和水密性能应符合国家现行有关标准的规定</w:t>
            </w:r>
          </w:p>
        </w:tc>
        <w:tc>
          <w:tcPr>
            <w:tcW w:w="373" w:type="pct"/>
            <w:shd w:val="clear" w:color="auto" w:fill="A6A6A6"/>
            <w:noWrap w:val="0"/>
            <w:vAlign w:val="center"/>
          </w:tcPr>
          <w:p w14:paraId="7F4C64C3">
            <w:pPr>
              <w:pStyle w:val="61"/>
              <w:spacing w:line="240" w:lineRule="auto"/>
              <w:rPr>
                <w:color w:val="auto"/>
              </w:rPr>
            </w:pPr>
            <w:r>
              <w:rPr>
                <w:color w:val="auto"/>
              </w:rPr>
              <w:t>—</w:t>
            </w:r>
          </w:p>
        </w:tc>
        <w:tc>
          <w:tcPr>
            <w:tcW w:w="352" w:type="pct"/>
            <w:noWrap w:val="0"/>
            <w:vAlign w:val="center"/>
          </w:tcPr>
          <w:p w14:paraId="457F9870">
            <w:pPr>
              <w:pStyle w:val="61"/>
              <w:spacing w:line="240" w:lineRule="auto"/>
              <w:rPr>
                <w:color w:val="auto"/>
              </w:rPr>
            </w:pPr>
          </w:p>
        </w:tc>
      </w:tr>
      <w:tr w14:paraId="478B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continue"/>
            <w:shd w:val="clear" w:color="auto" w:fill="auto"/>
            <w:noWrap w:val="0"/>
            <w:vAlign w:val="center"/>
          </w:tcPr>
          <w:p w14:paraId="66465E0B">
            <w:pPr>
              <w:pStyle w:val="61"/>
              <w:spacing w:line="240" w:lineRule="auto"/>
              <w:rPr>
                <w:color w:val="auto"/>
              </w:rPr>
            </w:pPr>
          </w:p>
        </w:tc>
        <w:tc>
          <w:tcPr>
            <w:tcW w:w="404" w:type="pct"/>
            <w:shd w:val="clear" w:color="auto" w:fill="auto"/>
            <w:noWrap w:val="0"/>
            <w:vAlign w:val="center"/>
          </w:tcPr>
          <w:p w14:paraId="515BAB97">
            <w:pPr>
              <w:pStyle w:val="61"/>
              <w:spacing w:line="240" w:lineRule="auto"/>
              <w:rPr>
                <w:color w:val="auto"/>
              </w:rPr>
            </w:pPr>
            <w:r>
              <w:rPr>
                <w:color w:val="auto"/>
              </w:rPr>
              <w:t>4.1.6</w:t>
            </w:r>
          </w:p>
        </w:tc>
        <w:tc>
          <w:tcPr>
            <w:tcW w:w="3511" w:type="pct"/>
            <w:shd w:val="clear" w:color="auto" w:fill="auto"/>
            <w:noWrap w:val="0"/>
            <w:vAlign w:val="center"/>
          </w:tcPr>
          <w:p w14:paraId="3E1137DB">
            <w:pPr>
              <w:pStyle w:val="61"/>
              <w:spacing w:line="240" w:lineRule="auto"/>
              <w:rPr>
                <w:color w:val="auto"/>
              </w:rPr>
            </w:pPr>
            <w:r>
              <w:rPr>
                <w:color w:val="auto"/>
              </w:rPr>
              <w:t>卫生间、浴室的地面应设置防水层，墙面、顶棚应设置防潮层。</w:t>
            </w:r>
          </w:p>
        </w:tc>
        <w:tc>
          <w:tcPr>
            <w:tcW w:w="373" w:type="pct"/>
            <w:shd w:val="clear" w:color="auto" w:fill="A6A6A6"/>
            <w:noWrap w:val="0"/>
            <w:vAlign w:val="center"/>
          </w:tcPr>
          <w:p w14:paraId="48F9C39F">
            <w:pPr>
              <w:pStyle w:val="61"/>
              <w:spacing w:line="240" w:lineRule="auto"/>
              <w:rPr>
                <w:color w:val="auto"/>
              </w:rPr>
            </w:pPr>
            <w:r>
              <w:rPr>
                <w:color w:val="auto"/>
              </w:rPr>
              <w:t>—</w:t>
            </w:r>
          </w:p>
        </w:tc>
        <w:tc>
          <w:tcPr>
            <w:tcW w:w="352" w:type="pct"/>
            <w:noWrap w:val="0"/>
            <w:vAlign w:val="center"/>
          </w:tcPr>
          <w:p w14:paraId="0DA2FE49">
            <w:pPr>
              <w:pStyle w:val="61"/>
              <w:spacing w:line="240" w:lineRule="auto"/>
              <w:rPr>
                <w:color w:val="auto"/>
              </w:rPr>
            </w:pPr>
          </w:p>
        </w:tc>
      </w:tr>
      <w:tr w14:paraId="6B8D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continue"/>
            <w:shd w:val="clear" w:color="auto" w:fill="auto"/>
            <w:noWrap w:val="0"/>
            <w:vAlign w:val="center"/>
          </w:tcPr>
          <w:p w14:paraId="59282A7F">
            <w:pPr>
              <w:pStyle w:val="61"/>
              <w:spacing w:line="240" w:lineRule="auto"/>
              <w:rPr>
                <w:color w:val="auto"/>
              </w:rPr>
            </w:pPr>
          </w:p>
        </w:tc>
        <w:tc>
          <w:tcPr>
            <w:tcW w:w="404" w:type="pct"/>
            <w:shd w:val="clear" w:color="auto" w:fill="auto"/>
            <w:noWrap w:val="0"/>
            <w:vAlign w:val="center"/>
          </w:tcPr>
          <w:p w14:paraId="3D09DC3C">
            <w:pPr>
              <w:pStyle w:val="61"/>
              <w:spacing w:line="240" w:lineRule="auto"/>
              <w:rPr>
                <w:color w:val="auto"/>
              </w:rPr>
            </w:pPr>
            <w:r>
              <w:rPr>
                <w:color w:val="auto"/>
              </w:rPr>
              <w:t>4.1.7</w:t>
            </w:r>
          </w:p>
        </w:tc>
        <w:tc>
          <w:tcPr>
            <w:tcW w:w="3511" w:type="pct"/>
            <w:shd w:val="clear" w:color="auto" w:fill="auto"/>
            <w:noWrap w:val="0"/>
            <w:vAlign w:val="center"/>
          </w:tcPr>
          <w:p w14:paraId="479A6912">
            <w:pPr>
              <w:pStyle w:val="61"/>
              <w:spacing w:line="240" w:lineRule="auto"/>
              <w:rPr>
                <w:color w:val="auto"/>
              </w:rPr>
            </w:pPr>
            <w:r>
              <w:rPr>
                <w:color w:val="auto"/>
              </w:rPr>
              <w:t>走廊、疏散通道等通行空间应满足紧急疏散、应急救护等要求，且应保持畅通。</w:t>
            </w:r>
          </w:p>
        </w:tc>
        <w:tc>
          <w:tcPr>
            <w:tcW w:w="373" w:type="pct"/>
            <w:shd w:val="clear" w:color="auto" w:fill="A6A6A6"/>
            <w:noWrap w:val="0"/>
            <w:vAlign w:val="center"/>
          </w:tcPr>
          <w:p w14:paraId="707A6526">
            <w:pPr>
              <w:pStyle w:val="61"/>
              <w:spacing w:line="240" w:lineRule="auto"/>
              <w:rPr>
                <w:color w:val="auto"/>
              </w:rPr>
            </w:pPr>
            <w:r>
              <w:rPr>
                <w:color w:val="auto"/>
              </w:rPr>
              <w:t>—</w:t>
            </w:r>
          </w:p>
        </w:tc>
        <w:tc>
          <w:tcPr>
            <w:tcW w:w="352" w:type="pct"/>
            <w:noWrap w:val="0"/>
            <w:vAlign w:val="center"/>
          </w:tcPr>
          <w:p w14:paraId="653AC649">
            <w:pPr>
              <w:pStyle w:val="61"/>
              <w:spacing w:line="240" w:lineRule="auto"/>
              <w:rPr>
                <w:color w:val="auto"/>
              </w:rPr>
            </w:pPr>
          </w:p>
        </w:tc>
      </w:tr>
      <w:tr w14:paraId="5B90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continue"/>
            <w:shd w:val="clear" w:color="auto" w:fill="auto"/>
            <w:noWrap w:val="0"/>
            <w:vAlign w:val="center"/>
          </w:tcPr>
          <w:p w14:paraId="17CEB7C1">
            <w:pPr>
              <w:pStyle w:val="61"/>
              <w:spacing w:line="240" w:lineRule="auto"/>
              <w:rPr>
                <w:color w:val="auto"/>
              </w:rPr>
            </w:pPr>
          </w:p>
        </w:tc>
        <w:tc>
          <w:tcPr>
            <w:tcW w:w="404" w:type="pct"/>
            <w:shd w:val="clear" w:color="auto" w:fill="auto"/>
            <w:noWrap w:val="0"/>
            <w:vAlign w:val="center"/>
          </w:tcPr>
          <w:p w14:paraId="585BA171">
            <w:pPr>
              <w:pStyle w:val="61"/>
              <w:spacing w:line="240" w:lineRule="auto"/>
              <w:rPr>
                <w:color w:val="auto"/>
              </w:rPr>
            </w:pPr>
            <w:r>
              <w:rPr>
                <w:color w:val="auto"/>
              </w:rPr>
              <w:t>4.1.8</w:t>
            </w:r>
          </w:p>
        </w:tc>
        <w:tc>
          <w:tcPr>
            <w:tcW w:w="3511" w:type="pct"/>
            <w:shd w:val="clear" w:color="auto" w:fill="auto"/>
            <w:noWrap w:val="0"/>
            <w:vAlign w:val="center"/>
          </w:tcPr>
          <w:p w14:paraId="2B5A7279">
            <w:pPr>
              <w:pStyle w:val="61"/>
              <w:spacing w:line="240" w:lineRule="auto"/>
              <w:rPr>
                <w:color w:val="auto"/>
              </w:rPr>
            </w:pPr>
            <w:r>
              <w:rPr>
                <w:color w:val="auto"/>
              </w:rPr>
              <w:t>应具有安全防护的警示和引导标识系统。</w:t>
            </w:r>
          </w:p>
        </w:tc>
        <w:tc>
          <w:tcPr>
            <w:tcW w:w="373" w:type="pct"/>
            <w:shd w:val="clear" w:color="auto" w:fill="A6A6A6"/>
            <w:noWrap w:val="0"/>
            <w:vAlign w:val="center"/>
          </w:tcPr>
          <w:p w14:paraId="223ECA0C">
            <w:pPr>
              <w:pStyle w:val="61"/>
              <w:spacing w:line="240" w:lineRule="auto"/>
              <w:rPr>
                <w:color w:val="auto"/>
              </w:rPr>
            </w:pPr>
            <w:r>
              <w:rPr>
                <w:color w:val="auto"/>
              </w:rPr>
              <w:t>—</w:t>
            </w:r>
          </w:p>
        </w:tc>
        <w:tc>
          <w:tcPr>
            <w:tcW w:w="352" w:type="pct"/>
            <w:noWrap w:val="0"/>
            <w:vAlign w:val="center"/>
          </w:tcPr>
          <w:p w14:paraId="2D3ACF46">
            <w:pPr>
              <w:pStyle w:val="61"/>
              <w:spacing w:line="240" w:lineRule="auto"/>
              <w:rPr>
                <w:color w:val="auto"/>
              </w:rPr>
            </w:pPr>
          </w:p>
        </w:tc>
      </w:tr>
      <w:tr w14:paraId="56D5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restart"/>
            <w:noWrap w:val="0"/>
            <w:vAlign w:val="center"/>
          </w:tcPr>
          <w:p w14:paraId="3315C496">
            <w:pPr>
              <w:pStyle w:val="61"/>
              <w:spacing w:line="240" w:lineRule="auto"/>
              <w:rPr>
                <w:color w:val="auto"/>
              </w:rPr>
            </w:pPr>
            <w:r>
              <w:rPr>
                <w:color w:val="auto"/>
              </w:rPr>
              <w:t>安全</w:t>
            </w:r>
          </w:p>
        </w:tc>
        <w:tc>
          <w:tcPr>
            <w:tcW w:w="404" w:type="pct"/>
            <w:noWrap w:val="0"/>
            <w:vAlign w:val="center"/>
          </w:tcPr>
          <w:p w14:paraId="505BC71F">
            <w:pPr>
              <w:pStyle w:val="61"/>
              <w:spacing w:line="240" w:lineRule="auto"/>
              <w:rPr>
                <w:color w:val="auto"/>
              </w:rPr>
            </w:pPr>
            <w:r>
              <w:rPr>
                <w:color w:val="auto"/>
              </w:rPr>
              <w:t>4.2.1</w:t>
            </w:r>
          </w:p>
        </w:tc>
        <w:tc>
          <w:tcPr>
            <w:tcW w:w="3511" w:type="pct"/>
            <w:noWrap w:val="0"/>
            <w:vAlign w:val="center"/>
          </w:tcPr>
          <w:p w14:paraId="438E6733">
            <w:pPr>
              <w:pStyle w:val="61"/>
              <w:spacing w:line="240" w:lineRule="auto"/>
              <w:rPr>
                <w:color w:val="auto"/>
              </w:rPr>
            </w:pPr>
            <w:r>
              <w:rPr>
                <w:color w:val="auto"/>
              </w:rPr>
              <w:t>采用基于性能的抗震设计并合理提高建筑的抗震性能。</w:t>
            </w:r>
          </w:p>
        </w:tc>
        <w:tc>
          <w:tcPr>
            <w:tcW w:w="373" w:type="pct"/>
            <w:noWrap w:val="0"/>
            <w:vAlign w:val="center"/>
          </w:tcPr>
          <w:p w14:paraId="2218C9DE">
            <w:pPr>
              <w:pStyle w:val="61"/>
              <w:spacing w:line="240" w:lineRule="auto"/>
              <w:rPr>
                <w:color w:val="auto"/>
              </w:rPr>
            </w:pPr>
            <w:r>
              <w:rPr>
                <w:color w:val="auto"/>
              </w:rPr>
              <w:t>10</w:t>
            </w:r>
          </w:p>
        </w:tc>
        <w:tc>
          <w:tcPr>
            <w:tcW w:w="352" w:type="pct"/>
            <w:noWrap w:val="0"/>
            <w:vAlign w:val="center"/>
          </w:tcPr>
          <w:p w14:paraId="461D1C45">
            <w:pPr>
              <w:pStyle w:val="61"/>
              <w:spacing w:line="240" w:lineRule="auto"/>
              <w:rPr>
                <w:color w:val="auto"/>
              </w:rPr>
            </w:pPr>
            <w:r>
              <w:rPr>
                <w:rFonts w:hint="eastAsia"/>
                <w:color w:val="auto"/>
              </w:rPr>
              <w:t>0</w:t>
            </w:r>
          </w:p>
        </w:tc>
      </w:tr>
      <w:tr w14:paraId="1550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continue"/>
            <w:noWrap w:val="0"/>
            <w:vAlign w:val="center"/>
          </w:tcPr>
          <w:p w14:paraId="5ECFF032">
            <w:pPr>
              <w:pStyle w:val="61"/>
              <w:spacing w:line="240" w:lineRule="auto"/>
              <w:rPr>
                <w:color w:val="auto"/>
              </w:rPr>
            </w:pPr>
          </w:p>
        </w:tc>
        <w:tc>
          <w:tcPr>
            <w:tcW w:w="404" w:type="pct"/>
            <w:noWrap w:val="0"/>
            <w:vAlign w:val="center"/>
          </w:tcPr>
          <w:p w14:paraId="1604EC9A">
            <w:pPr>
              <w:pStyle w:val="61"/>
              <w:spacing w:line="240" w:lineRule="auto"/>
              <w:rPr>
                <w:color w:val="auto"/>
              </w:rPr>
            </w:pPr>
            <w:r>
              <w:rPr>
                <w:color w:val="auto"/>
              </w:rPr>
              <w:t>4.2.2</w:t>
            </w:r>
          </w:p>
        </w:tc>
        <w:tc>
          <w:tcPr>
            <w:tcW w:w="3511" w:type="pct"/>
            <w:noWrap w:val="0"/>
            <w:vAlign w:val="center"/>
          </w:tcPr>
          <w:p w14:paraId="38EA37F9">
            <w:pPr>
              <w:pStyle w:val="61"/>
              <w:spacing w:line="240" w:lineRule="auto"/>
              <w:rPr>
                <w:color w:val="auto"/>
              </w:rPr>
            </w:pPr>
            <w:r>
              <w:rPr>
                <w:color w:val="auto"/>
              </w:rPr>
              <w:t>采取保障人员安全的防护措施。</w:t>
            </w:r>
          </w:p>
        </w:tc>
        <w:tc>
          <w:tcPr>
            <w:tcW w:w="373" w:type="pct"/>
            <w:noWrap w:val="0"/>
            <w:vAlign w:val="center"/>
          </w:tcPr>
          <w:p w14:paraId="550506F1">
            <w:pPr>
              <w:pStyle w:val="61"/>
              <w:spacing w:line="240" w:lineRule="auto"/>
              <w:rPr>
                <w:color w:val="auto"/>
              </w:rPr>
            </w:pPr>
            <w:r>
              <w:rPr>
                <w:color w:val="auto"/>
              </w:rPr>
              <w:t>15</w:t>
            </w:r>
          </w:p>
        </w:tc>
        <w:tc>
          <w:tcPr>
            <w:tcW w:w="352" w:type="pct"/>
            <w:noWrap w:val="0"/>
            <w:vAlign w:val="center"/>
          </w:tcPr>
          <w:p w14:paraId="72BF5DC2">
            <w:pPr>
              <w:pStyle w:val="61"/>
              <w:spacing w:line="240" w:lineRule="auto"/>
              <w:rPr>
                <w:color w:val="auto"/>
              </w:rPr>
            </w:pPr>
            <w:r>
              <w:rPr>
                <w:color w:val="auto"/>
              </w:rPr>
              <w:t>5</w:t>
            </w:r>
          </w:p>
        </w:tc>
      </w:tr>
      <w:tr w14:paraId="65C1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continue"/>
            <w:noWrap w:val="0"/>
            <w:vAlign w:val="center"/>
          </w:tcPr>
          <w:p w14:paraId="70E73FB1">
            <w:pPr>
              <w:pStyle w:val="61"/>
              <w:spacing w:line="240" w:lineRule="auto"/>
              <w:rPr>
                <w:color w:val="auto"/>
              </w:rPr>
            </w:pPr>
          </w:p>
        </w:tc>
        <w:tc>
          <w:tcPr>
            <w:tcW w:w="404" w:type="pct"/>
            <w:noWrap w:val="0"/>
            <w:vAlign w:val="center"/>
          </w:tcPr>
          <w:p w14:paraId="39B82B11">
            <w:pPr>
              <w:pStyle w:val="61"/>
              <w:spacing w:line="240" w:lineRule="auto"/>
              <w:rPr>
                <w:color w:val="auto"/>
              </w:rPr>
            </w:pPr>
            <w:r>
              <w:rPr>
                <w:color w:val="auto"/>
              </w:rPr>
              <w:t>4.2.3</w:t>
            </w:r>
          </w:p>
        </w:tc>
        <w:tc>
          <w:tcPr>
            <w:tcW w:w="3511" w:type="pct"/>
            <w:noWrap w:val="0"/>
            <w:vAlign w:val="center"/>
          </w:tcPr>
          <w:p w14:paraId="7907D683">
            <w:pPr>
              <w:pStyle w:val="61"/>
              <w:spacing w:line="240" w:lineRule="auto"/>
              <w:rPr>
                <w:color w:val="auto"/>
              </w:rPr>
            </w:pPr>
            <w:r>
              <w:rPr>
                <w:color w:val="auto"/>
              </w:rPr>
              <w:t>采用具有安全防护功能的产品或配件。</w:t>
            </w:r>
          </w:p>
        </w:tc>
        <w:tc>
          <w:tcPr>
            <w:tcW w:w="373" w:type="pct"/>
            <w:noWrap w:val="0"/>
            <w:vAlign w:val="center"/>
          </w:tcPr>
          <w:p w14:paraId="229ECFCD">
            <w:pPr>
              <w:pStyle w:val="61"/>
              <w:spacing w:line="240" w:lineRule="auto"/>
              <w:rPr>
                <w:color w:val="auto"/>
              </w:rPr>
            </w:pPr>
            <w:r>
              <w:rPr>
                <w:color w:val="auto"/>
              </w:rPr>
              <w:t>10</w:t>
            </w:r>
          </w:p>
        </w:tc>
        <w:tc>
          <w:tcPr>
            <w:tcW w:w="352" w:type="pct"/>
            <w:noWrap w:val="0"/>
            <w:vAlign w:val="center"/>
          </w:tcPr>
          <w:p w14:paraId="405227A4">
            <w:pPr>
              <w:pStyle w:val="61"/>
              <w:spacing w:line="240" w:lineRule="auto"/>
              <w:rPr>
                <w:color w:val="auto"/>
              </w:rPr>
            </w:pPr>
            <w:r>
              <w:rPr>
                <w:color w:val="auto"/>
              </w:rPr>
              <w:t>10</w:t>
            </w:r>
          </w:p>
        </w:tc>
      </w:tr>
      <w:tr w14:paraId="40CD5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continue"/>
            <w:noWrap w:val="0"/>
            <w:vAlign w:val="center"/>
          </w:tcPr>
          <w:p w14:paraId="12C71AC2">
            <w:pPr>
              <w:pStyle w:val="61"/>
              <w:spacing w:line="240" w:lineRule="auto"/>
              <w:rPr>
                <w:color w:val="auto"/>
              </w:rPr>
            </w:pPr>
          </w:p>
        </w:tc>
        <w:tc>
          <w:tcPr>
            <w:tcW w:w="404" w:type="pct"/>
            <w:noWrap w:val="0"/>
            <w:vAlign w:val="center"/>
          </w:tcPr>
          <w:p w14:paraId="78DAB65F">
            <w:pPr>
              <w:pStyle w:val="61"/>
              <w:spacing w:line="240" w:lineRule="auto"/>
              <w:rPr>
                <w:color w:val="auto"/>
              </w:rPr>
            </w:pPr>
            <w:r>
              <w:rPr>
                <w:color w:val="auto"/>
              </w:rPr>
              <w:t>4.2.4</w:t>
            </w:r>
          </w:p>
        </w:tc>
        <w:tc>
          <w:tcPr>
            <w:tcW w:w="3511" w:type="pct"/>
            <w:noWrap w:val="0"/>
            <w:vAlign w:val="center"/>
          </w:tcPr>
          <w:p w14:paraId="2D2C8C69">
            <w:pPr>
              <w:pStyle w:val="61"/>
              <w:spacing w:line="240" w:lineRule="auto"/>
              <w:rPr>
                <w:color w:val="auto"/>
              </w:rPr>
            </w:pPr>
            <w:r>
              <w:rPr>
                <w:color w:val="auto"/>
              </w:rPr>
              <w:t>室内外地面或路设置防滑措施。</w:t>
            </w:r>
          </w:p>
        </w:tc>
        <w:tc>
          <w:tcPr>
            <w:tcW w:w="373" w:type="pct"/>
            <w:noWrap w:val="0"/>
            <w:vAlign w:val="center"/>
          </w:tcPr>
          <w:p w14:paraId="54A3088F">
            <w:pPr>
              <w:pStyle w:val="61"/>
              <w:spacing w:line="240" w:lineRule="auto"/>
              <w:rPr>
                <w:color w:val="auto"/>
              </w:rPr>
            </w:pPr>
            <w:r>
              <w:rPr>
                <w:color w:val="auto"/>
              </w:rPr>
              <w:t>10</w:t>
            </w:r>
          </w:p>
        </w:tc>
        <w:tc>
          <w:tcPr>
            <w:tcW w:w="352" w:type="pct"/>
            <w:noWrap w:val="0"/>
            <w:vAlign w:val="center"/>
          </w:tcPr>
          <w:p w14:paraId="42755870">
            <w:pPr>
              <w:pStyle w:val="61"/>
              <w:spacing w:line="240" w:lineRule="auto"/>
              <w:rPr>
                <w:color w:val="auto"/>
              </w:rPr>
            </w:pPr>
            <w:r>
              <w:rPr>
                <w:rFonts w:hint="eastAsia"/>
                <w:color w:val="auto"/>
              </w:rPr>
              <w:t>10</w:t>
            </w:r>
          </w:p>
        </w:tc>
      </w:tr>
      <w:tr w14:paraId="0587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continue"/>
            <w:noWrap w:val="0"/>
            <w:vAlign w:val="center"/>
          </w:tcPr>
          <w:p w14:paraId="5EB5A65F">
            <w:pPr>
              <w:pStyle w:val="61"/>
              <w:spacing w:line="240" w:lineRule="auto"/>
              <w:rPr>
                <w:color w:val="auto"/>
              </w:rPr>
            </w:pPr>
          </w:p>
        </w:tc>
        <w:tc>
          <w:tcPr>
            <w:tcW w:w="404" w:type="pct"/>
            <w:noWrap w:val="0"/>
            <w:vAlign w:val="center"/>
          </w:tcPr>
          <w:p w14:paraId="32C7E7B2">
            <w:pPr>
              <w:pStyle w:val="61"/>
              <w:spacing w:line="240" w:lineRule="auto"/>
              <w:rPr>
                <w:color w:val="auto"/>
              </w:rPr>
            </w:pPr>
            <w:r>
              <w:rPr>
                <w:color w:val="auto"/>
              </w:rPr>
              <w:t>4.2.5</w:t>
            </w:r>
          </w:p>
        </w:tc>
        <w:tc>
          <w:tcPr>
            <w:tcW w:w="3511" w:type="pct"/>
            <w:noWrap w:val="0"/>
            <w:vAlign w:val="center"/>
          </w:tcPr>
          <w:p w14:paraId="4151FF16">
            <w:pPr>
              <w:pStyle w:val="61"/>
              <w:spacing w:line="240" w:lineRule="auto"/>
              <w:rPr>
                <w:color w:val="auto"/>
              </w:rPr>
            </w:pPr>
            <w:r>
              <w:rPr>
                <w:color w:val="auto"/>
              </w:rPr>
              <w:t>采取人车分流措施，且步行和自交通系统有充足照明。</w:t>
            </w:r>
          </w:p>
        </w:tc>
        <w:tc>
          <w:tcPr>
            <w:tcW w:w="373" w:type="pct"/>
            <w:noWrap w:val="0"/>
            <w:vAlign w:val="center"/>
          </w:tcPr>
          <w:p w14:paraId="51F0E4CF">
            <w:pPr>
              <w:pStyle w:val="61"/>
              <w:spacing w:line="240" w:lineRule="auto"/>
              <w:rPr>
                <w:color w:val="auto"/>
              </w:rPr>
            </w:pPr>
            <w:r>
              <w:rPr>
                <w:color w:val="auto"/>
              </w:rPr>
              <w:t>8</w:t>
            </w:r>
          </w:p>
        </w:tc>
        <w:tc>
          <w:tcPr>
            <w:tcW w:w="352" w:type="pct"/>
            <w:noWrap w:val="0"/>
            <w:vAlign w:val="center"/>
          </w:tcPr>
          <w:p w14:paraId="132FADDD">
            <w:pPr>
              <w:pStyle w:val="61"/>
              <w:spacing w:line="240" w:lineRule="auto"/>
              <w:rPr>
                <w:color w:val="auto"/>
              </w:rPr>
            </w:pPr>
            <w:r>
              <w:rPr>
                <w:rFonts w:hint="eastAsia"/>
                <w:color w:val="auto"/>
              </w:rPr>
              <w:t>8</w:t>
            </w:r>
          </w:p>
        </w:tc>
      </w:tr>
      <w:tr w14:paraId="22BF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restart"/>
            <w:noWrap w:val="0"/>
            <w:vAlign w:val="center"/>
          </w:tcPr>
          <w:p w14:paraId="5B6612AD">
            <w:pPr>
              <w:pStyle w:val="61"/>
              <w:spacing w:line="240" w:lineRule="auto"/>
              <w:rPr>
                <w:color w:val="auto"/>
              </w:rPr>
            </w:pPr>
            <w:r>
              <w:rPr>
                <w:color w:val="auto"/>
              </w:rPr>
              <w:t>耐久</w:t>
            </w:r>
          </w:p>
        </w:tc>
        <w:tc>
          <w:tcPr>
            <w:tcW w:w="404" w:type="pct"/>
            <w:noWrap w:val="0"/>
            <w:vAlign w:val="center"/>
          </w:tcPr>
          <w:p w14:paraId="1F8F83C5">
            <w:pPr>
              <w:pStyle w:val="61"/>
              <w:spacing w:line="240" w:lineRule="auto"/>
              <w:rPr>
                <w:color w:val="auto"/>
              </w:rPr>
            </w:pPr>
            <w:r>
              <w:rPr>
                <w:color w:val="auto"/>
              </w:rPr>
              <w:t>4.2.6</w:t>
            </w:r>
          </w:p>
        </w:tc>
        <w:tc>
          <w:tcPr>
            <w:tcW w:w="3511" w:type="pct"/>
            <w:noWrap w:val="0"/>
            <w:vAlign w:val="center"/>
          </w:tcPr>
          <w:p w14:paraId="078DDA3C">
            <w:pPr>
              <w:pStyle w:val="61"/>
              <w:spacing w:line="240" w:lineRule="auto"/>
              <w:rPr>
                <w:color w:val="auto"/>
              </w:rPr>
            </w:pPr>
            <w:r>
              <w:rPr>
                <w:color w:val="auto"/>
              </w:rPr>
              <w:t>采取提升建筑适变性的措施。</w:t>
            </w:r>
          </w:p>
        </w:tc>
        <w:tc>
          <w:tcPr>
            <w:tcW w:w="373" w:type="pct"/>
            <w:noWrap w:val="0"/>
            <w:vAlign w:val="center"/>
          </w:tcPr>
          <w:p w14:paraId="09B72611">
            <w:pPr>
              <w:pStyle w:val="61"/>
              <w:spacing w:line="240" w:lineRule="auto"/>
              <w:rPr>
                <w:color w:val="auto"/>
              </w:rPr>
            </w:pPr>
            <w:r>
              <w:rPr>
                <w:color w:val="auto"/>
              </w:rPr>
              <w:t>18</w:t>
            </w:r>
          </w:p>
        </w:tc>
        <w:tc>
          <w:tcPr>
            <w:tcW w:w="352" w:type="pct"/>
            <w:noWrap w:val="0"/>
            <w:vAlign w:val="center"/>
          </w:tcPr>
          <w:p w14:paraId="7232094A">
            <w:pPr>
              <w:pStyle w:val="61"/>
              <w:spacing w:line="240" w:lineRule="auto"/>
              <w:rPr>
                <w:color w:val="auto"/>
              </w:rPr>
            </w:pPr>
            <w:r>
              <w:rPr>
                <w:color w:val="auto"/>
              </w:rPr>
              <w:t>11</w:t>
            </w:r>
          </w:p>
        </w:tc>
      </w:tr>
      <w:tr w14:paraId="7D09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continue"/>
            <w:noWrap w:val="0"/>
            <w:vAlign w:val="center"/>
          </w:tcPr>
          <w:p w14:paraId="262252D4">
            <w:pPr>
              <w:pStyle w:val="61"/>
              <w:spacing w:line="240" w:lineRule="auto"/>
              <w:rPr>
                <w:color w:val="auto"/>
              </w:rPr>
            </w:pPr>
          </w:p>
        </w:tc>
        <w:tc>
          <w:tcPr>
            <w:tcW w:w="404" w:type="pct"/>
            <w:noWrap w:val="0"/>
            <w:vAlign w:val="center"/>
          </w:tcPr>
          <w:p w14:paraId="590CE1F0">
            <w:pPr>
              <w:pStyle w:val="61"/>
              <w:spacing w:line="240" w:lineRule="auto"/>
              <w:rPr>
                <w:color w:val="auto"/>
              </w:rPr>
            </w:pPr>
            <w:r>
              <w:rPr>
                <w:color w:val="auto"/>
              </w:rPr>
              <w:t>4.2.7</w:t>
            </w:r>
          </w:p>
        </w:tc>
        <w:tc>
          <w:tcPr>
            <w:tcW w:w="3511" w:type="pct"/>
            <w:noWrap w:val="0"/>
            <w:vAlign w:val="center"/>
          </w:tcPr>
          <w:p w14:paraId="392187FC">
            <w:pPr>
              <w:pStyle w:val="61"/>
              <w:spacing w:line="240" w:lineRule="auto"/>
              <w:rPr>
                <w:color w:val="auto"/>
              </w:rPr>
            </w:pPr>
            <w:r>
              <w:rPr>
                <w:color w:val="auto"/>
              </w:rPr>
              <w:t>采取提升建筑部品部件耐久性的措施。</w:t>
            </w:r>
          </w:p>
        </w:tc>
        <w:tc>
          <w:tcPr>
            <w:tcW w:w="373" w:type="pct"/>
            <w:noWrap w:val="0"/>
            <w:vAlign w:val="center"/>
          </w:tcPr>
          <w:p w14:paraId="38200911">
            <w:pPr>
              <w:pStyle w:val="61"/>
              <w:spacing w:line="240" w:lineRule="auto"/>
              <w:rPr>
                <w:color w:val="auto"/>
              </w:rPr>
            </w:pPr>
            <w:r>
              <w:rPr>
                <w:color w:val="auto"/>
              </w:rPr>
              <w:t>10</w:t>
            </w:r>
          </w:p>
        </w:tc>
        <w:tc>
          <w:tcPr>
            <w:tcW w:w="352" w:type="pct"/>
            <w:noWrap w:val="0"/>
            <w:vAlign w:val="center"/>
          </w:tcPr>
          <w:p w14:paraId="40FB8CE2">
            <w:pPr>
              <w:pStyle w:val="61"/>
              <w:spacing w:line="240" w:lineRule="auto"/>
              <w:rPr>
                <w:color w:val="auto"/>
              </w:rPr>
            </w:pPr>
            <w:r>
              <w:rPr>
                <w:color w:val="auto"/>
              </w:rPr>
              <w:t>5</w:t>
            </w:r>
          </w:p>
        </w:tc>
      </w:tr>
      <w:tr w14:paraId="472D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continue"/>
            <w:noWrap w:val="0"/>
            <w:vAlign w:val="center"/>
          </w:tcPr>
          <w:p w14:paraId="015690BE">
            <w:pPr>
              <w:pStyle w:val="61"/>
              <w:spacing w:line="240" w:lineRule="auto"/>
              <w:rPr>
                <w:color w:val="auto"/>
              </w:rPr>
            </w:pPr>
          </w:p>
        </w:tc>
        <w:tc>
          <w:tcPr>
            <w:tcW w:w="404" w:type="pct"/>
            <w:noWrap w:val="0"/>
            <w:vAlign w:val="center"/>
          </w:tcPr>
          <w:p w14:paraId="4E9B4FE3">
            <w:pPr>
              <w:pStyle w:val="61"/>
              <w:spacing w:line="240" w:lineRule="auto"/>
              <w:rPr>
                <w:color w:val="auto"/>
              </w:rPr>
            </w:pPr>
            <w:r>
              <w:rPr>
                <w:color w:val="auto"/>
              </w:rPr>
              <w:t>4.2.8</w:t>
            </w:r>
          </w:p>
        </w:tc>
        <w:tc>
          <w:tcPr>
            <w:tcW w:w="3511" w:type="pct"/>
            <w:noWrap w:val="0"/>
            <w:vAlign w:val="center"/>
          </w:tcPr>
          <w:p w14:paraId="6732DC96">
            <w:pPr>
              <w:pStyle w:val="61"/>
              <w:spacing w:line="240" w:lineRule="auto"/>
              <w:rPr>
                <w:color w:val="auto"/>
              </w:rPr>
            </w:pPr>
            <w:r>
              <w:rPr>
                <w:color w:val="auto"/>
              </w:rPr>
              <w:t>提高建筑结构材料的耐久性。</w:t>
            </w:r>
          </w:p>
        </w:tc>
        <w:tc>
          <w:tcPr>
            <w:tcW w:w="373" w:type="pct"/>
            <w:noWrap w:val="0"/>
            <w:vAlign w:val="center"/>
          </w:tcPr>
          <w:p w14:paraId="3B91479B">
            <w:pPr>
              <w:pStyle w:val="61"/>
              <w:spacing w:line="240" w:lineRule="auto"/>
              <w:rPr>
                <w:color w:val="auto"/>
              </w:rPr>
            </w:pPr>
            <w:r>
              <w:rPr>
                <w:color w:val="auto"/>
              </w:rPr>
              <w:t>10</w:t>
            </w:r>
          </w:p>
        </w:tc>
        <w:tc>
          <w:tcPr>
            <w:tcW w:w="352" w:type="pct"/>
            <w:noWrap w:val="0"/>
            <w:vAlign w:val="center"/>
          </w:tcPr>
          <w:p w14:paraId="1172317F">
            <w:pPr>
              <w:pStyle w:val="61"/>
              <w:spacing w:line="240" w:lineRule="auto"/>
              <w:rPr>
                <w:color w:val="auto"/>
              </w:rPr>
            </w:pPr>
            <w:r>
              <w:rPr>
                <w:color w:val="auto"/>
              </w:rPr>
              <w:t>0</w:t>
            </w:r>
          </w:p>
        </w:tc>
      </w:tr>
      <w:tr w14:paraId="70C2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 w:type="pct"/>
            <w:vMerge w:val="continue"/>
            <w:noWrap w:val="0"/>
            <w:vAlign w:val="center"/>
          </w:tcPr>
          <w:p w14:paraId="5E2268DC">
            <w:pPr>
              <w:pStyle w:val="61"/>
              <w:spacing w:line="240" w:lineRule="auto"/>
              <w:rPr>
                <w:color w:val="auto"/>
              </w:rPr>
            </w:pPr>
          </w:p>
        </w:tc>
        <w:tc>
          <w:tcPr>
            <w:tcW w:w="404" w:type="pct"/>
            <w:noWrap w:val="0"/>
            <w:vAlign w:val="center"/>
          </w:tcPr>
          <w:p w14:paraId="0B8C3A56">
            <w:pPr>
              <w:pStyle w:val="61"/>
              <w:spacing w:line="240" w:lineRule="auto"/>
              <w:rPr>
                <w:color w:val="auto"/>
              </w:rPr>
            </w:pPr>
            <w:r>
              <w:rPr>
                <w:color w:val="auto"/>
              </w:rPr>
              <w:t>4.2.9</w:t>
            </w:r>
          </w:p>
        </w:tc>
        <w:tc>
          <w:tcPr>
            <w:tcW w:w="3511" w:type="pct"/>
            <w:noWrap w:val="0"/>
            <w:vAlign w:val="center"/>
          </w:tcPr>
          <w:p w14:paraId="384F5400">
            <w:pPr>
              <w:pStyle w:val="61"/>
              <w:spacing w:line="240" w:lineRule="auto"/>
              <w:rPr>
                <w:color w:val="auto"/>
              </w:rPr>
            </w:pPr>
            <w:r>
              <w:rPr>
                <w:color w:val="auto"/>
              </w:rPr>
              <w:t>合理采用耐久性好、易维护的装饰</w:t>
            </w:r>
            <w:r>
              <w:rPr>
                <w:rFonts w:hint="eastAsia"/>
                <w:color w:val="auto"/>
              </w:rPr>
              <w:t>装</w:t>
            </w:r>
            <w:r>
              <w:rPr>
                <w:color w:val="auto"/>
              </w:rPr>
              <w:t>修建筑材料。</w:t>
            </w:r>
          </w:p>
        </w:tc>
        <w:tc>
          <w:tcPr>
            <w:tcW w:w="373" w:type="pct"/>
            <w:noWrap w:val="0"/>
            <w:vAlign w:val="center"/>
          </w:tcPr>
          <w:p w14:paraId="7F932B94">
            <w:pPr>
              <w:pStyle w:val="61"/>
              <w:spacing w:line="240" w:lineRule="auto"/>
              <w:rPr>
                <w:color w:val="auto"/>
              </w:rPr>
            </w:pPr>
            <w:r>
              <w:rPr>
                <w:color w:val="auto"/>
              </w:rPr>
              <w:t>9</w:t>
            </w:r>
          </w:p>
        </w:tc>
        <w:tc>
          <w:tcPr>
            <w:tcW w:w="352" w:type="pct"/>
            <w:noWrap w:val="0"/>
            <w:vAlign w:val="center"/>
          </w:tcPr>
          <w:p w14:paraId="6714C4F8">
            <w:pPr>
              <w:pStyle w:val="61"/>
              <w:spacing w:line="240" w:lineRule="auto"/>
              <w:rPr>
                <w:color w:val="auto"/>
              </w:rPr>
            </w:pPr>
            <w:r>
              <w:rPr>
                <w:color w:val="auto"/>
              </w:rPr>
              <w:t>3</w:t>
            </w:r>
          </w:p>
        </w:tc>
      </w:tr>
      <w:tr w14:paraId="0323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4" w:type="pct"/>
            <w:gridSpan w:val="3"/>
            <w:noWrap w:val="0"/>
            <w:vAlign w:val="center"/>
          </w:tcPr>
          <w:p w14:paraId="6692DAAD">
            <w:pPr>
              <w:pStyle w:val="61"/>
              <w:spacing w:line="240" w:lineRule="auto"/>
              <w:rPr>
                <w:color w:val="auto"/>
              </w:rPr>
            </w:pPr>
            <w:r>
              <w:rPr>
                <w:color w:val="auto"/>
              </w:rPr>
              <w:t>总计</w:t>
            </w:r>
          </w:p>
        </w:tc>
        <w:tc>
          <w:tcPr>
            <w:tcW w:w="373" w:type="pct"/>
            <w:noWrap w:val="0"/>
            <w:vAlign w:val="center"/>
          </w:tcPr>
          <w:p w14:paraId="19558C25">
            <w:pPr>
              <w:pStyle w:val="61"/>
              <w:spacing w:line="240" w:lineRule="auto"/>
              <w:rPr>
                <w:color w:val="auto"/>
              </w:rPr>
            </w:pPr>
            <w:r>
              <w:rPr>
                <w:color w:val="auto"/>
              </w:rPr>
              <w:t>100</w:t>
            </w:r>
          </w:p>
        </w:tc>
        <w:tc>
          <w:tcPr>
            <w:tcW w:w="352" w:type="pct"/>
            <w:noWrap w:val="0"/>
            <w:vAlign w:val="center"/>
          </w:tcPr>
          <w:p w14:paraId="77C22024">
            <w:pPr>
              <w:pStyle w:val="61"/>
              <w:spacing w:line="240" w:lineRule="auto"/>
              <w:rPr>
                <w:color w:val="auto"/>
              </w:rPr>
            </w:pPr>
            <w:r>
              <w:rPr>
                <w:color w:val="auto"/>
              </w:rPr>
              <w:t>52</w:t>
            </w:r>
          </w:p>
        </w:tc>
      </w:tr>
    </w:tbl>
    <w:p w14:paraId="7E7FB53F">
      <w:pPr>
        <w:pStyle w:val="7"/>
        <w:rPr>
          <w:color w:val="auto"/>
        </w:rPr>
      </w:pPr>
      <w:bookmarkStart w:id="98" w:name="_Toc24738"/>
      <w:r>
        <w:rPr>
          <w:rFonts w:hint="eastAsia"/>
          <w:color w:val="auto"/>
        </w:rPr>
        <w:t>控制项</w:t>
      </w:r>
      <w:bookmarkEnd w:id="98"/>
    </w:p>
    <w:p w14:paraId="18F2DB19">
      <w:pPr>
        <w:pStyle w:val="8"/>
        <w:rPr>
          <w:color w:val="auto"/>
        </w:rPr>
      </w:pPr>
      <w:r>
        <w:rPr>
          <w:color w:val="auto"/>
        </w:rPr>
        <w:t>场地应避开滑坡、泥石流等地质危险地段，易发生洪涝区有可靠的防涝基础设施；场地应无危险化学品、易燃易爆源的威胁，无电磁辐射、含氡土壤的危害。</w:t>
      </w:r>
    </w:p>
    <w:p w14:paraId="36C755DC">
      <w:pPr>
        <w:ind w:firstLine="480"/>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评价要点</w:t>
      </w:r>
    </w:p>
    <w:p w14:paraId="43B11C27">
      <w:pPr>
        <w:ind w:firstLine="480"/>
        <w:rPr>
          <w:rFonts w:ascii="宋体" w:hAnsi="宋体"/>
          <w:color w:val="auto"/>
        </w:rPr>
      </w:pPr>
      <w:r>
        <w:rPr>
          <w:rFonts w:hint="eastAsia" w:ascii="宋体" w:hAnsi="宋体"/>
          <w:color w:val="auto"/>
        </w:rPr>
        <w:t>建筑场地已避开滑坡、泥石流等地质危险地段，周边无农田、湿地、易发生洪涝地区。场地内无古树名木。场地内无危险化学品，无易燃易爆危险源，无电磁辐射，无含氡土壤等危害。其他污染源来自交通噪声、机电设备噪声、厨房油烟、生活废气、生活废水等，并有相应的处理措施。</w:t>
      </w:r>
    </w:p>
    <w:p w14:paraId="3C203978">
      <w:pPr>
        <w:ind w:firstLine="480"/>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证明材料</w:t>
      </w:r>
    </w:p>
    <w:p w14:paraId="0E99FE96">
      <w:pPr>
        <w:ind w:firstLine="480"/>
        <w:rPr>
          <w:rFonts w:ascii="宋体" w:hAnsi="宋体"/>
          <w:color w:val="auto"/>
        </w:rPr>
      </w:pPr>
      <w:r>
        <w:rPr>
          <w:rFonts w:hint="eastAsia" w:ascii="宋体" w:hAnsi="宋体"/>
          <w:color w:val="auto"/>
        </w:rPr>
        <w:t>（1）</w:t>
      </w:r>
      <w:r>
        <w:rPr>
          <w:rFonts w:ascii="宋体" w:hAnsi="宋体"/>
          <w:color w:val="auto"/>
        </w:rPr>
        <w:t>项目区位图、场地地形图、</w:t>
      </w:r>
      <w:r>
        <w:rPr>
          <w:rFonts w:hint="eastAsia" w:ascii="宋体" w:hAnsi="宋体"/>
          <w:color w:val="auto"/>
        </w:rPr>
        <w:t>工程地质</w:t>
      </w:r>
      <w:r>
        <w:rPr>
          <w:rFonts w:ascii="宋体" w:hAnsi="宋体"/>
          <w:color w:val="auto"/>
        </w:rPr>
        <w:t>勘察报告</w:t>
      </w:r>
      <w:r>
        <w:rPr>
          <w:rFonts w:hint="eastAsia" w:ascii="宋体" w:hAnsi="宋体"/>
          <w:color w:val="auto"/>
        </w:rPr>
        <w:t>；</w:t>
      </w:r>
    </w:p>
    <w:p w14:paraId="2E14328E">
      <w:pPr>
        <w:ind w:firstLine="480"/>
        <w:rPr>
          <w:rFonts w:ascii="宋体" w:hAnsi="宋体"/>
          <w:color w:val="auto"/>
        </w:rPr>
      </w:pPr>
      <w:r>
        <w:rPr>
          <w:rFonts w:hint="eastAsia" w:ascii="宋体" w:hAnsi="宋体"/>
          <w:color w:val="auto"/>
        </w:rPr>
        <w:t>（2）</w:t>
      </w:r>
      <w:r>
        <w:rPr>
          <w:rFonts w:ascii="宋体" w:hAnsi="宋体"/>
          <w:color w:val="auto"/>
        </w:rPr>
        <w:t>环评报告</w:t>
      </w:r>
      <w:r>
        <w:rPr>
          <w:rFonts w:hint="eastAsia" w:ascii="宋体" w:hAnsi="宋体"/>
          <w:color w:val="auto"/>
        </w:rPr>
        <w:t>；</w:t>
      </w:r>
    </w:p>
    <w:p w14:paraId="119D5A04">
      <w:pPr>
        <w:ind w:firstLine="480"/>
        <w:rPr>
          <w:rFonts w:ascii="宋体" w:hAnsi="宋体"/>
          <w:color w:val="auto"/>
        </w:rPr>
      </w:pPr>
      <w:r>
        <w:rPr>
          <w:rFonts w:hint="eastAsia" w:ascii="宋体" w:hAnsi="宋体"/>
          <w:color w:val="auto"/>
        </w:rPr>
        <w:t>（3）</w:t>
      </w:r>
      <w:r>
        <w:rPr>
          <w:rFonts w:ascii="宋体" w:hAnsi="宋体"/>
          <w:color w:val="auto"/>
        </w:rPr>
        <w:t>相关检测报告或论证报告</w:t>
      </w:r>
      <w:r>
        <w:rPr>
          <w:rFonts w:hint="eastAsia" w:ascii="宋体" w:hAnsi="宋体"/>
          <w:color w:val="auto"/>
        </w:rPr>
        <w:t>。</w:t>
      </w:r>
    </w:p>
    <w:p w14:paraId="2CEEA7D0">
      <w:pPr>
        <w:pStyle w:val="8"/>
        <w:rPr>
          <w:color w:val="auto"/>
        </w:rPr>
      </w:pPr>
      <w:r>
        <w:rPr>
          <w:color w:val="auto"/>
        </w:rPr>
        <w:t>建筑结构应满足承载力和建筑使用功能要求。建筑外墙、屋面门窗幕墙及外保温等围护结构应满足安全、耐久和防护的要求。</w:t>
      </w:r>
    </w:p>
    <w:p w14:paraId="26C91568">
      <w:pPr>
        <w:ind w:firstLine="480"/>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评价要点</w:t>
      </w:r>
    </w:p>
    <w:p w14:paraId="139CD0AA">
      <w:pPr>
        <w:ind w:firstLine="480"/>
        <w:rPr>
          <w:rFonts w:ascii="宋体" w:hAnsi="宋体"/>
          <w:color w:val="auto"/>
        </w:rPr>
      </w:pPr>
      <w:r>
        <w:rPr>
          <w:rFonts w:hint="eastAsia" w:ascii="宋体" w:hAnsi="宋体"/>
          <w:color w:val="auto"/>
        </w:rPr>
        <w:t>（1）本项目的建筑外墙、屋面、门窗、幕墙及外保温等围护结构应符合现行国家标准《建筑幕墙》GB/T 21086-2007 、《屋面工程技术规范》GB 50345-2012 、现行行业标准《建筑外墙防水工程技术规程》JGJ/T 235-2011 、《外墙外保温工程技术规程》JGJ 144-2004 、《玻璃幕墙工程技术规范》JGJ 102-2003 、《塑料门窗工程技术规程》JGJ 103-2008 、《铝合金门窗工程技术规范》JGJ 214-2010 等的规定。</w:t>
      </w:r>
    </w:p>
    <w:p w14:paraId="625755CF">
      <w:pPr>
        <w:ind w:firstLine="480"/>
        <w:rPr>
          <w:rFonts w:ascii="宋体" w:hAnsi="宋体"/>
          <w:color w:val="auto"/>
        </w:rPr>
      </w:pPr>
      <w:r>
        <w:rPr>
          <w:rFonts w:hint="eastAsia" w:ascii="宋体" w:hAnsi="宋体"/>
          <w:color w:val="auto"/>
        </w:rPr>
        <w:t>（2）本项目结构的设计、施工和维护使结构在规定的设计使用年限内以规定的可靠度满足规定的各项功能的要求。满足承载力和建筑使用功能要求。</w:t>
      </w:r>
    </w:p>
    <w:p w14:paraId="48E457BF">
      <w:pPr>
        <w:ind w:firstLine="480"/>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证明材料</w:t>
      </w:r>
    </w:p>
    <w:p w14:paraId="5D07CAA5">
      <w:pPr>
        <w:ind w:firstLine="480"/>
        <w:rPr>
          <w:rFonts w:hint="eastAsia" w:ascii="宋体" w:hAnsi="宋体"/>
          <w:color w:val="auto"/>
        </w:rPr>
      </w:pPr>
      <w:r>
        <w:rPr>
          <w:rFonts w:hint="eastAsia" w:ascii="宋体" w:hAnsi="宋体"/>
          <w:color w:val="auto"/>
        </w:rPr>
        <w:t>（1）设计图纸:A-00-01~17 建筑施工图设计说明、A-02-01 墙体材料表、A-02-03</w:t>
      </w:r>
    </w:p>
    <w:p w14:paraId="4D724985">
      <w:pPr>
        <w:ind w:firstLine="480"/>
        <w:rPr>
          <w:rFonts w:ascii="宋体" w:hAnsi="宋体"/>
          <w:color w:val="auto"/>
        </w:rPr>
      </w:pPr>
      <w:r>
        <w:rPr>
          <w:rFonts w:hint="eastAsia" w:ascii="宋体" w:hAnsi="宋体"/>
          <w:color w:val="auto"/>
        </w:rPr>
        <w:t>墙面用料表、A-02-06 围护结构节能构造做法表、S-0-00-01~05 结构设计总说明。</w:t>
      </w:r>
    </w:p>
    <w:p w14:paraId="0827DC9B">
      <w:pPr>
        <w:pStyle w:val="8"/>
        <w:rPr>
          <w:color w:val="auto"/>
        </w:rPr>
      </w:pPr>
      <w:r>
        <w:rPr>
          <w:color w:val="auto"/>
        </w:rPr>
        <w:t>外遮阳、太阳能设施、空调室外机位、外墙花池等部外部设施应与建筑主体结构统一设计、施工，并应具备安装、检修与维护条件。</w:t>
      </w:r>
    </w:p>
    <w:p w14:paraId="6576690C">
      <w:pPr>
        <w:ind w:firstLine="480"/>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评价要点</w:t>
      </w:r>
    </w:p>
    <w:p w14:paraId="24357844">
      <w:pPr>
        <w:ind w:firstLine="480"/>
        <w:rPr>
          <w:rFonts w:ascii="宋体" w:hAnsi="宋体"/>
          <w:color w:val="auto"/>
        </w:rPr>
      </w:pPr>
      <w:r>
        <w:rPr>
          <w:rFonts w:hint="eastAsia" w:ascii="宋体" w:hAnsi="宋体"/>
          <w:color w:val="auto"/>
        </w:rPr>
        <w:t>建筑部品、非结构构件及附属设备等采用机械固定、焊接、预埋等牢固性构件连接方式或一体化建造方式与建筑主体结构可靠连接；建筑部品、非结构构件及附属设备等将不得采用膨胀螺栓、捆绑、支架等连接或安装方式</w:t>
      </w:r>
      <w:r>
        <w:rPr>
          <w:rFonts w:ascii="宋体" w:hAnsi="宋体"/>
          <w:color w:val="auto"/>
        </w:rPr>
        <w:t>。</w:t>
      </w:r>
    </w:p>
    <w:p w14:paraId="531A030C">
      <w:pPr>
        <w:ind w:firstLine="480"/>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证明材料</w:t>
      </w:r>
    </w:p>
    <w:p w14:paraId="51DAA2DB">
      <w:pPr>
        <w:ind w:firstLine="480"/>
        <w:rPr>
          <w:rFonts w:ascii="宋体" w:hAnsi="宋体"/>
          <w:color w:val="auto"/>
        </w:rPr>
      </w:pPr>
      <w:r>
        <w:rPr>
          <w:rFonts w:hint="eastAsia" w:ascii="宋体" w:hAnsi="宋体"/>
          <w:color w:val="auto"/>
        </w:rPr>
        <w:t>（1）设计说明：A-00-01~17 建筑施工图设计说明、S-0-00-01~05 结构设计总说明。</w:t>
      </w:r>
    </w:p>
    <w:p w14:paraId="16D42AD0">
      <w:pPr>
        <w:pStyle w:val="8"/>
        <w:rPr>
          <w:color w:val="auto"/>
        </w:rPr>
      </w:pPr>
      <w:r>
        <w:rPr>
          <w:color w:val="auto"/>
        </w:rPr>
        <w:t>建筑内部的非结构件、设备及附属设施等应连接牢固并能适应主体结构变形。</w:t>
      </w:r>
    </w:p>
    <w:p w14:paraId="1DCDBF78">
      <w:pPr>
        <w:ind w:firstLine="480"/>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评价要点</w:t>
      </w:r>
    </w:p>
    <w:p w14:paraId="74552D65">
      <w:pPr>
        <w:ind w:firstLine="480"/>
        <w:rPr>
          <w:rFonts w:ascii="宋体" w:hAnsi="宋体"/>
          <w:color w:val="auto"/>
        </w:rPr>
      </w:pPr>
      <w:r>
        <w:rPr>
          <w:rFonts w:hint="eastAsia" w:ascii="宋体" w:hAnsi="宋体"/>
          <w:color w:val="auto"/>
        </w:rPr>
        <w:t>建筑部品、非结构构件及附属设备等采用机械固定、焊接、预埋等牢固性构件连接方式与建筑主体结构可靠连接，防止由于个别构件破坏引起连续性破坏或倒塌。</w:t>
      </w:r>
    </w:p>
    <w:p w14:paraId="5714A87C">
      <w:pPr>
        <w:ind w:firstLine="480"/>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证明材料</w:t>
      </w:r>
    </w:p>
    <w:p w14:paraId="5EEE0E7C">
      <w:pPr>
        <w:ind w:firstLine="480"/>
        <w:rPr>
          <w:rFonts w:ascii="宋体" w:hAnsi="宋体"/>
          <w:color w:val="auto"/>
        </w:rPr>
      </w:pPr>
      <w:r>
        <w:rPr>
          <w:rFonts w:hint="eastAsia" w:ascii="宋体" w:hAnsi="宋体"/>
          <w:color w:val="auto"/>
        </w:rPr>
        <w:t>（1）</w:t>
      </w:r>
      <w:r>
        <w:rPr>
          <w:rFonts w:ascii="宋体" w:hAnsi="宋体"/>
          <w:color w:val="auto"/>
        </w:rPr>
        <w:t>建筑、结构</w:t>
      </w:r>
      <w:r>
        <w:rPr>
          <w:rFonts w:hint="eastAsia" w:ascii="宋体" w:hAnsi="宋体"/>
          <w:color w:val="auto"/>
        </w:rPr>
        <w:t>设计</w:t>
      </w:r>
      <w:r>
        <w:rPr>
          <w:rFonts w:ascii="宋体" w:hAnsi="宋体"/>
          <w:color w:val="auto"/>
        </w:rPr>
        <w:t>图</w:t>
      </w:r>
      <w:r>
        <w:rPr>
          <w:rFonts w:hint="eastAsia" w:ascii="宋体" w:hAnsi="宋体"/>
          <w:color w:val="auto"/>
        </w:rPr>
        <w:t>和设计说明；</w:t>
      </w:r>
    </w:p>
    <w:p w14:paraId="34FF1D2A">
      <w:pPr>
        <w:ind w:firstLine="480"/>
        <w:rPr>
          <w:rFonts w:ascii="宋体" w:hAnsi="宋体"/>
          <w:color w:val="auto"/>
        </w:rPr>
      </w:pPr>
      <w:r>
        <w:rPr>
          <w:rFonts w:hint="eastAsia" w:ascii="宋体" w:hAnsi="宋体"/>
          <w:color w:val="auto"/>
        </w:rPr>
        <w:t>（2）关键构件计算书、连接节点大样图；</w:t>
      </w:r>
    </w:p>
    <w:p w14:paraId="0C49708D">
      <w:pPr>
        <w:ind w:firstLine="480"/>
        <w:rPr>
          <w:rFonts w:ascii="宋体" w:hAnsi="宋体"/>
          <w:color w:val="auto"/>
        </w:rPr>
      </w:pPr>
      <w:r>
        <w:rPr>
          <w:rFonts w:hint="eastAsia" w:ascii="宋体" w:hAnsi="宋体"/>
          <w:color w:val="auto"/>
        </w:rPr>
        <w:t>（3）设备及附属设施的布置图及设计说明。</w:t>
      </w:r>
    </w:p>
    <w:p w14:paraId="314E2798">
      <w:pPr>
        <w:pStyle w:val="8"/>
        <w:rPr>
          <w:color w:val="auto"/>
        </w:rPr>
      </w:pPr>
      <w:r>
        <w:rPr>
          <w:color w:val="auto"/>
        </w:rPr>
        <w:t>建筑外门窗必须安装牢靠，其抗风压性能和水密性能应符合国家现行有关标准的规定</w:t>
      </w:r>
      <w:r>
        <w:rPr>
          <w:rFonts w:hint="eastAsia"/>
          <w:color w:val="auto"/>
        </w:rPr>
        <w:t>。</w:t>
      </w:r>
    </w:p>
    <w:p w14:paraId="662FE492">
      <w:pPr>
        <w:ind w:firstLine="480"/>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评价要点</w:t>
      </w:r>
    </w:p>
    <w:p w14:paraId="50558FB1">
      <w:pPr>
        <w:ind w:firstLine="480"/>
        <w:rPr>
          <w:rFonts w:ascii="宋体" w:hAnsi="宋体"/>
          <w:color w:val="auto"/>
        </w:rPr>
      </w:pPr>
      <w:r>
        <w:rPr>
          <w:rFonts w:ascii="宋体" w:hAnsi="宋体"/>
          <w:color w:val="auto"/>
        </w:rPr>
        <w:t>本项目</w:t>
      </w:r>
      <w:r>
        <w:rPr>
          <w:rFonts w:hint="eastAsia" w:ascii="宋体" w:hAnsi="宋体"/>
          <w:color w:val="auto"/>
        </w:rPr>
        <w:t>建筑外门窗必须安装牢固，其抗风压性能应符合现行行业标准《塑料门窗工程技术规程》JGJ 103-2008 、《铝合金门窗工程技术规范》JGJ 214-2010 、《建筑门窗工程检测技术规程》JGJ/T 205-2010 等的规定；透明幕墙的气密性不应低于《建筑幕墙》GB/T 21086 规定的 3 级，玻璃幕墙的水密性不应小于 3 级，可开启部分不小于 3 级</w:t>
      </w:r>
      <w:r>
        <w:rPr>
          <w:rFonts w:ascii="宋体" w:hAnsi="宋体"/>
          <w:color w:val="auto"/>
        </w:rPr>
        <w:t>。</w:t>
      </w:r>
    </w:p>
    <w:p w14:paraId="5B281C4B">
      <w:pPr>
        <w:ind w:firstLine="480"/>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证明材料</w:t>
      </w:r>
    </w:p>
    <w:p w14:paraId="71C99CF5">
      <w:pPr>
        <w:ind w:firstLine="480"/>
        <w:rPr>
          <w:rFonts w:ascii="宋体" w:hAnsi="宋体"/>
          <w:color w:val="auto"/>
        </w:rPr>
      </w:pPr>
      <w:r>
        <w:rPr>
          <w:rFonts w:hint="eastAsia" w:ascii="宋体" w:hAnsi="宋体"/>
          <w:color w:val="auto"/>
        </w:rPr>
        <w:t>（1）设计说明：A-00-01~17 建筑施工图设计说明。</w:t>
      </w:r>
    </w:p>
    <w:p w14:paraId="014E520F">
      <w:pPr>
        <w:pStyle w:val="8"/>
        <w:rPr>
          <w:color w:val="auto"/>
        </w:rPr>
      </w:pPr>
      <w:r>
        <w:rPr>
          <w:color w:val="auto"/>
        </w:rPr>
        <w:t>卫生间、浴室的地面应设置防水层，墙面、顶棚应设置防潮层。</w:t>
      </w:r>
    </w:p>
    <w:p w14:paraId="68F55DF4">
      <w:pPr>
        <w:ind w:firstLine="482"/>
        <w:rPr>
          <w:b/>
          <w:color w:val="auto"/>
        </w:rPr>
      </w:pPr>
      <w:r>
        <w:rPr>
          <w:b/>
          <w:color w:val="auto"/>
        </w:rPr>
        <w:t>1 达标自评</w:t>
      </w:r>
    </w:p>
    <w:p w14:paraId="70EB31A0">
      <w:pPr>
        <w:ind w:firstLine="480"/>
        <w:rPr>
          <w:color w:val="auto"/>
        </w:rPr>
      </w:pPr>
      <w:r>
        <w:rPr>
          <w:rFonts w:hint="eastAsia"/>
          <w:color w:val="auto"/>
        </w:rPr>
        <w:sym w:font="Wingdings 2" w:char="F052"/>
      </w:r>
      <w:r>
        <w:rPr>
          <w:color w:val="auto"/>
        </w:rPr>
        <w:t>达标；</w:t>
      </w:r>
      <w:r>
        <w:rPr>
          <w:rFonts w:hint="eastAsia"/>
          <w:color w:val="auto"/>
        </w:rPr>
        <w:t>□</w:t>
      </w:r>
      <w:r>
        <w:rPr>
          <w:color w:val="auto"/>
        </w:rPr>
        <w:t>不达标</w:t>
      </w:r>
    </w:p>
    <w:p w14:paraId="6FFF5DAE">
      <w:pPr>
        <w:ind w:firstLine="482"/>
        <w:rPr>
          <w:b/>
          <w:color w:val="auto"/>
        </w:rPr>
      </w:pPr>
      <w:r>
        <w:rPr>
          <w:b/>
          <w:color w:val="auto"/>
        </w:rPr>
        <w:t>2 评价要点</w:t>
      </w:r>
    </w:p>
    <w:p w14:paraId="2B5D6818">
      <w:pPr>
        <w:ind w:firstLine="480"/>
        <w:rPr>
          <w:color w:val="auto"/>
        </w:rPr>
      </w:pPr>
      <w:r>
        <w:rPr>
          <w:rFonts w:hint="eastAsia"/>
          <w:color w:val="auto"/>
        </w:rPr>
        <w:t>外露在室外空气中的开口和玻璃处耐潮，地板和地下室、洗手间、厨房和高湿度空间的室内设置墙内衬板，在多孔材料之间使用无孔材料，如闭孔泡沫、防水膜、金属，进行防水阻断；卫生间、浴室的地面设置防水层，墙面、顶棚设置防潮层。</w:t>
      </w:r>
    </w:p>
    <w:p w14:paraId="4021260B">
      <w:pPr>
        <w:ind w:firstLine="482"/>
        <w:rPr>
          <w:b/>
          <w:color w:val="auto"/>
        </w:rPr>
      </w:pPr>
      <w:r>
        <w:rPr>
          <w:b/>
          <w:color w:val="auto"/>
        </w:rPr>
        <w:t>3 证明材料</w:t>
      </w:r>
    </w:p>
    <w:p w14:paraId="71401997">
      <w:pPr>
        <w:ind w:firstLine="480"/>
        <w:rPr>
          <w:color w:val="auto"/>
        </w:rPr>
      </w:pPr>
      <w:r>
        <w:rPr>
          <w:color w:val="auto"/>
        </w:rPr>
        <w:t>提交材料及要求：</w:t>
      </w:r>
    </w:p>
    <w:p w14:paraId="3A57F254">
      <w:pPr>
        <w:numPr>
          <w:ilvl w:val="0"/>
          <w:numId w:val="3"/>
        </w:numPr>
        <w:ind w:firstLineChars="0"/>
        <w:rPr>
          <w:color w:val="auto"/>
        </w:rPr>
      </w:pPr>
      <w:r>
        <w:rPr>
          <w:rFonts w:hint="eastAsia"/>
          <w:color w:val="auto"/>
        </w:rPr>
        <w:t>建筑材料做法表：A-02-01 墙体材料表、A-02-02.1 楼地面用料表、A-02-02.2 楼地面用料表 、A-02-03 墙面用料表、A-02-04 顶棚用料表。</w:t>
      </w:r>
    </w:p>
    <w:p w14:paraId="4CCDA105">
      <w:pPr>
        <w:pStyle w:val="8"/>
        <w:rPr>
          <w:bCs w:val="0"/>
          <w:color w:val="auto"/>
        </w:rPr>
      </w:pPr>
      <w:r>
        <w:rPr>
          <w:bCs w:val="0"/>
          <w:color w:val="auto"/>
        </w:rPr>
        <w:t>走廊、疏散通道等通行空间应满足紧急疏散、应急救护等要求，且应保持畅通。</w:t>
      </w:r>
    </w:p>
    <w:p w14:paraId="36649368">
      <w:pPr>
        <w:ind w:firstLine="482"/>
        <w:rPr>
          <w:b/>
          <w:color w:val="auto"/>
        </w:rPr>
      </w:pPr>
      <w:r>
        <w:rPr>
          <w:b/>
          <w:color w:val="auto"/>
        </w:rPr>
        <w:t>1 达标自评</w:t>
      </w:r>
    </w:p>
    <w:p w14:paraId="1FEF6391">
      <w:pPr>
        <w:ind w:firstLine="480"/>
        <w:rPr>
          <w:color w:val="auto"/>
        </w:rPr>
      </w:pPr>
      <w:r>
        <w:rPr>
          <w:rFonts w:hint="eastAsia"/>
          <w:color w:val="auto"/>
        </w:rPr>
        <w:sym w:font="Wingdings 2" w:char="F052"/>
      </w:r>
      <w:r>
        <w:rPr>
          <w:color w:val="auto"/>
        </w:rPr>
        <w:t>达标；</w:t>
      </w:r>
      <w:r>
        <w:rPr>
          <w:rFonts w:hint="eastAsia"/>
          <w:color w:val="auto"/>
        </w:rPr>
        <w:t>□</w:t>
      </w:r>
      <w:r>
        <w:rPr>
          <w:color w:val="auto"/>
        </w:rPr>
        <w:t>不达标</w:t>
      </w:r>
    </w:p>
    <w:p w14:paraId="1310B777">
      <w:pPr>
        <w:ind w:firstLine="482"/>
        <w:rPr>
          <w:b/>
          <w:color w:val="auto"/>
        </w:rPr>
      </w:pPr>
      <w:r>
        <w:rPr>
          <w:b/>
          <w:color w:val="auto"/>
        </w:rPr>
        <w:t>2 评价要点</w:t>
      </w:r>
    </w:p>
    <w:p w14:paraId="415F5050">
      <w:pPr>
        <w:ind w:firstLine="480"/>
        <w:rPr>
          <w:color w:val="auto"/>
        </w:rPr>
      </w:pPr>
      <w:r>
        <w:rPr>
          <w:color w:val="auto"/>
        </w:rPr>
        <w:t>请对走廊、疏散通道等通行空间的畅通性</w:t>
      </w:r>
      <w:r>
        <w:rPr>
          <w:rFonts w:hint="eastAsia"/>
          <w:color w:val="auto"/>
        </w:rPr>
        <w:t>进行</w:t>
      </w:r>
      <w:r>
        <w:rPr>
          <w:color w:val="auto"/>
        </w:rPr>
        <w:t>简要说明</w:t>
      </w:r>
      <w:r>
        <w:rPr>
          <w:rFonts w:hint="eastAsia"/>
          <w:color w:val="auto"/>
        </w:rPr>
        <w:t>。</w:t>
      </w:r>
    </w:p>
    <w:p w14:paraId="3D7F3108">
      <w:pPr>
        <w:ind w:firstLine="480"/>
        <w:rPr>
          <w:color w:val="auto"/>
        </w:rPr>
      </w:pPr>
      <w:r>
        <w:rPr>
          <w:rFonts w:hint="eastAsia"/>
          <w:color w:val="auto"/>
        </w:rPr>
        <w:t>走廊、疏散通道等通行空间应符合现行国家标准《建筑设计防火规范（2018年版）》GB 50016-2014 、《防灾避难场所设计规范》GB 51143-2015 等的规定</w:t>
      </w:r>
    </w:p>
    <w:p w14:paraId="5005A5DD">
      <w:pPr>
        <w:ind w:firstLine="482"/>
        <w:rPr>
          <w:b/>
          <w:color w:val="auto"/>
        </w:rPr>
      </w:pPr>
      <w:r>
        <w:rPr>
          <w:b/>
          <w:color w:val="auto"/>
        </w:rPr>
        <w:t>3 证明材料</w:t>
      </w:r>
    </w:p>
    <w:p w14:paraId="2F4C7AC1">
      <w:pPr>
        <w:ind w:firstLine="480"/>
        <w:rPr>
          <w:color w:val="auto"/>
        </w:rPr>
      </w:pPr>
      <w:r>
        <w:rPr>
          <w:color w:val="auto"/>
        </w:rPr>
        <w:t>提交材料及要求：</w:t>
      </w:r>
    </w:p>
    <w:p w14:paraId="425A9DE7">
      <w:pPr>
        <w:ind w:firstLine="480"/>
        <w:rPr>
          <w:color w:val="auto"/>
        </w:rPr>
      </w:pPr>
      <w:r>
        <w:rPr>
          <w:color w:val="auto"/>
        </w:rPr>
        <w:t>1</w:t>
      </w:r>
      <w:r>
        <w:rPr>
          <w:rFonts w:hint="eastAsia"/>
          <w:color w:val="auto"/>
        </w:rPr>
        <w:t>）设计图纸：A-00-01~17 建筑施工图设计说明。</w:t>
      </w:r>
    </w:p>
    <w:p w14:paraId="453D5526">
      <w:pPr>
        <w:ind w:firstLine="480"/>
        <w:rPr>
          <w:color w:val="auto"/>
        </w:rPr>
      </w:pPr>
      <w:r>
        <w:rPr>
          <w:color w:val="auto"/>
        </w:rPr>
        <w:t>实际提交材料：</w:t>
      </w:r>
    </w:p>
    <w:p w14:paraId="75B44E03">
      <w:pPr>
        <w:ind w:firstLine="480"/>
        <w:rPr>
          <w:color w:val="auto"/>
        </w:rPr>
      </w:pPr>
      <w:r>
        <w:rPr>
          <w:rFonts w:hint="eastAsia"/>
          <w:color w:val="auto"/>
        </w:rPr>
        <w:t>设计图纸：A-00-01~17 建筑施工图设计说明</w:t>
      </w:r>
    </w:p>
    <w:p w14:paraId="7B7BD716">
      <w:pPr>
        <w:pStyle w:val="8"/>
        <w:rPr>
          <w:bCs w:val="0"/>
          <w:color w:val="auto"/>
        </w:rPr>
      </w:pPr>
      <w:r>
        <w:rPr>
          <w:bCs w:val="0"/>
          <w:color w:val="auto"/>
        </w:rPr>
        <w:t>应具有安全防护的警示和引导标识系统。</w:t>
      </w:r>
    </w:p>
    <w:p w14:paraId="6930CDA5">
      <w:pPr>
        <w:ind w:firstLine="482"/>
        <w:rPr>
          <w:b/>
          <w:color w:val="auto"/>
        </w:rPr>
      </w:pPr>
      <w:r>
        <w:rPr>
          <w:b/>
          <w:color w:val="auto"/>
        </w:rPr>
        <w:t>1 达标自评</w:t>
      </w:r>
    </w:p>
    <w:p w14:paraId="715222B9">
      <w:pPr>
        <w:ind w:firstLine="480"/>
        <w:rPr>
          <w:color w:val="auto"/>
        </w:rPr>
      </w:pPr>
      <w:r>
        <w:rPr>
          <w:rFonts w:hint="eastAsia"/>
          <w:color w:val="auto"/>
        </w:rPr>
        <w:sym w:font="Wingdings 2" w:char="F052"/>
      </w:r>
      <w:r>
        <w:rPr>
          <w:color w:val="auto"/>
        </w:rPr>
        <w:t>达标；</w:t>
      </w:r>
      <w:r>
        <w:rPr>
          <w:rFonts w:hint="eastAsia"/>
          <w:color w:val="auto"/>
        </w:rPr>
        <w:t>□</w:t>
      </w:r>
      <w:r>
        <w:rPr>
          <w:color w:val="auto"/>
        </w:rPr>
        <w:t>不达标</w:t>
      </w:r>
    </w:p>
    <w:p w14:paraId="3BB319AD">
      <w:pPr>
        <w:ind w:firstLine="482"/>
        <w:rPr>
          <w:b/>
          <w:color w:val="auto"/>
        </w:rPr>
      </w:pPr>
      <w:r>
        <w:rPr>
          <w:b/>
          <w:color w:val="auto"/>
        </w:rPr>
        <w:t>2 评价要点</w:t>
      </w:r>
    </w:p>
    <w:p w14:paraId="48333F19">
      <w:pPr>
        <w:ind w:firstLine="480"/>
        <w:rPr>
          <w:color w:val="auto"/>
        </w:rPr>
      </w:pPr>
      <w:r>
        <w:rPr>
          <w:color w:val="auto"/>
        </w:rPr>
        <w:t>请对安全防护的警示和引导</w:t>
      </w:r>
      <w:r>
        <w:rPr>
          <w:rFonts w:hint="eastAsia"/>
          <w:color w:val="auto"/>
        </w:rPr>
        <w:t>标识</w:t>
      </w:r>
      <w:r>
        <w:rPr>
          <w:color w:val="auto"/>
        </w:rPr>
        <w:t>系统</w:t>
      </w:r>
      <w:r>
        <w:rPr>
          <w:rFonts w:hint="eastAsia"/>
          <w:color w:val="auto"/>
        </w:rPr>
        <w:t>进行</w:t>
      </w:r>
      <w:r>
        <w:rPr>
          <w:color w:val="auto"/>
        </w:rPr>
        <w:t>简要说明</w:t>
      </w:r>
      <w:r>
        <w:rPr>
          <w:rFonts w:hint="eastAsia"/>
          <w:color w:val="auto"/>
        </w:rPr>
        <w:t>。</w:t>
      </w:r>
    </w:p>
    <w:tbl>
      <w:tblPr>
        <w:tblStyle w:val="34"/>
        <w:tblW w:w="0" w:type="auto"/>
        <w:tblInd w:w="250" w:type="dxa"/>
        <w:tblLayout w:type="autofit"/>
        <w:tblCellMar>
          <w:top w:w="0" w:type="dxa"/>
          <w:left w:w="108" w:type="dxa"/>
          <w:bottom w:w="0" w:type="dxa"/>
          <w:right w:w="108" w:type="dxa"/>
        </w:tblCellMar>
      </w:tblPr>
      <w:tblGrid>
        <w:gridCol w:w="9036"/>
      </w:tblGrid>
      <w:tr w14:paraId="303FD5BF">
        <w:tblPrEx>
          <w:tblCellMar>
            <w:top w:w="0" w:type="dxa"/>
            <w:left w:w="108" w:type="dxa"/>
            <w:bottom w:w="0" w:type="dxa"/>
            <w:right w:w="108" w:type="dxa"/>
          </w:tblCellMar>
        </w:tblPrEx>
        <w:trPr>
          <w:trHeight w:val="958" w:hRule="atLeast"/>
        </w:trPr>
        <w:tc>
          <w:tcPr>
            <w:tcW w:w="9356" w:type="dxa"/>
            <w:noWrap w:val="0"/>
            <w:vAlign w:val="top"/>
          </w:tcPr>
          <w:p w14:paraId="33EEB6EB">
            <w:pPr>
              <w:ind w:firstLine="480"/>
              <w:rPr>
                <w:rFonts w:hint="eastAsia"/>
                <w:color w:val="auto"/>
              </w:rPr>
            </w:pPr>
            <w:r>
              <w:rPr>
                <w:rFonts w:hint="eastAsia"/>
                <w:color w:val="auto"/>
              </w:rPr>
              <w:t>在显著位置上设置提醒人们注意安全的警示标志，比如禁止攀爬、禁止倚靠、禁止伸出窗外、禁止抛物、注意安全、当心碰头、当心夹手、当心车辆、当心坠落、当心滑倒、当心落水等；在显著位置上设置安全引导指示标志，包括紧急出口标志、急救点标志、报警点标志等。</w:t>
            </w:r>
          </w:p>
        </w:tc>
      </w:tr>
    </w:tbl>
    <w:p w14:paraId="0F0E60D1">
      <w:pPr>
        <w:ind w:firstLine="482"/>
        <w:rPr>
          <w:b/>
          <w:color w:val="auto"/>
        </w:rPr>
      </w:pPr>
      <w:r>
        <w:rPr>
          <w:b/>
          <w:color w:val="auto"/>
        </w:rPr>
        <w:t>3 证明材料</w:t>
      </w:r>
    </w:p>
    <w:p w14:paraId="0090BB79">
      <w:pPr>
        <w:ind w:firstLine="480"/>
        <w:rPr>
          <w:color w:val="auto"/>
        </w:rPr>
      </w:pPr>
      <w:r>
        <w:rPr>
          <w:color w:val="auto"/>
        </w:rPr>
        <w:t>提交材料及要求：</w:t>
      </w:r>
    </w:p>
    <w:p w14:paraId="413537DE">
      <w:pPr>
        <w:ind w:firstLine="480"/>
        <w:rPr>
          <w:color w:val="auto"/>
        </w:rPr>
      </w:pPr>
      <w:r>
        <w:rPr>
          <w:color w:val="auto"/>
        </w:rPr>
        <w:t>1</w:t>
      </w:r>
      <w:r>
        <w:rPr>
          <w:rFonts w:hint="eastAsia"/>
          <w:color w:val="auto"/>
        </w:rPr>
        <w:t>）标识系统设计说明：A-00-01~17 建筑施工图设计说明。</w:t>
      </w:r>
    </w:p>
    <w:p w14:paraId="1167AE20">
      <w:pPr>
        <w:ind w:firstLine="480"/>
        <w:rPr>
          <w:color w:val="auto"/>
        </w:rPr>
      </w:pPr>
      <w:r>
        <w:rPr>
          <w:color w:val="auto"/>
        </w:rPr>
        <w:t>实际提交材料：</w:t>
      </w:r>
    </w:p>
    <w:p w14:paraId="29652045">
      <w:pPr>
        <w:ind w:firstLine="480"/>
        <w:rPr>
          <w:color w:val="auto"/>
        </w:rPr>
      </w:pPr>
      <w:r>
        <w:rPr>
          <w:rFonts w:hint="eastAsia"/>
          <w:color w:val="auto"/>
        </w:rPr>
        <w:t>标识系统设计说明：A-00-01~17 建筑施工图设计说明</w:t>
      </w:r>
    </w:p>
    <w:p w14:paraId="1C40C565">
      <w:pPr>
        <w:pStyle w:val="8"/>
        <w:rPr>
          <w:bCs w:val="0"/>
          <w:color w:val="auto"/>
        </w:rPr>
      </w:pPr>
      <w:r>
        <w:rPr>
          <w:rFonts w:hint="eastAsia"/>
          <w:bCs w:val="0"/>
          <w:color w:val="auto"/>
        </w:rPr>
        <w:t>室内空气中的氨、甲醛、苯、总挥发性有机物、氡等污染物浓度应符合现行国家标准《室内空气质量标准》GB/T 18883 的有关规定。建筑室内和建筑主出入口处应禁止吸烟，并应在醒目位置设置禁烟标志。</w:t>
      </w:r>
    </w:p>
    <w:p w14:paraId="0DE5AC98">
      <w:pPr>
        <w:ind w:firstLine="482"/>
        <w:rPr>
          <w:b/>
          <w:color w:val="auto"/>
        </w:rPr>
      </w:pPr>
      <w:r>
        <w:rPr>
          <w:b/>
          <w:color w:val="auto"/>
        </w:rPr>
        <w:t>1 达标自评</w:t>
      </w:r>
    </w:p>
    <w:p w14:paraId="6E500B83">
      <w:pPr>
        <w:ind w:firstLine="480"/>
        <w:rPr>
          <w:color w:val="auto"/>
        </w:rPr>
      </w:pPr>
      <w:r>
        <w:rPr>
          <w:rFonts w:hint="eastAsia"/>
          <w:color w:val="auto"/>
        </w:rPr>
        <w:sym w:font="Wingdings 2" w:char="F052"/>
      </w:r>
      <w:r>
        <w:rPr>
          <w:color w:val="auto"/>
        </w:rPr>
        <w:t>达标；</w:t>
      </w:r>
      <w:r>
        <w:rPr>
          <w:rFonts w:hint="eastAsia"/>
          <w:color w:val="auto"/>
        </w:rPr>
        <w:t>□</w:t>
      </w:r>
      <w:r>
        <w:rPr>
          <w:color w:val="auto"/>
        </w:rPr>
        <w:t>不达标</w:t>
      </w:r>
    </w:p>
    <w:p w14:paraId="55DF9B04">
      <w:pPr>
        <w:ind w:firstLine="482"/>
        <w:rPr>
          <w:b/>
          <w:color w:val="auto"/>
        </w:rPr>
      </w:pPr>
      <w:r>
        <w:rPr>
          <w:b/>
          <w:color w:val="auto"/>
        </w:rPr>
        <w:t>2 评价要点</w:t>
      </w:r>
    </w:p>
    <w:tbl>
      <w:tblPr>
        <w:tblStyle w:val="34"/>
        <w:tblW w:w="0" w:type="auto"/>
        <w:tblInd w:w="250" w:type="dxa"/>
        <w:tblLayout w:type="autofit"/>
        <w:tblCellMar>
          <w:top w:w="0" w:type="dxa"/>
          <w:left w:w="108" w:type="dxa"/>
          <w:bottom w:w="0" w:type="dxa"/>
          <w:right w:w="108" w:type="dxa"/>
        </w:tblCellMar>
      </w:tblPr>
      <w:tblGrid>
        <w:gridCol w:w="9036"/>
      </w:tblGrid>
      <w:tr w14:paraId="25061381">
        <w:tblPrEx>
          <w:tblCellMar>
            <w:top w:w="0" w:type="dxa"/>
            <w:left w:w="108" w:type="dxa"/>
            <w:bottom w:w="0" w:type="dxa"/>
            <w:right w:w="108" w:type="dxa"/>
          </w:tblCellMar>
        </w:tblPrEx>
        <w:trPr>
          <w:trHeight w:val="958" w:hRule="atLeast"/>
        </w:trPr>
        <w:tc>
          <w:tcPr>
            <w:tcW w:w="9036" w:type="dxa"/>
            <w:noWrap w:val="0"/>
            <w:vAlign w:val="top"/>
          </w:tcPr>
          <w:p w14:paraId="460CEF5A">
            <w:pPr>
              <w:ind w:firstLine="480"/>
              <w:rPr>
                <w:rFonts w:hint="eastAsia"/>
                <w:color w:val="auto"/>
              </w:rPr>
            </w:pPr>
            <w:r>
              <w:rPr>
                <w:rFonts w:hint="eastAsia"/>
                <w:color w:val="auto"/>
              </w:rPr>
              <w:t>室内氨、甲醛、苯、总挥发性有机物、氡、可吸入颗粒物等主要空气污染物浓度比现行国家标准《室内空气质量标准》GB/T 18883-2002 标准值的降低比例达到20％。项目范围内的室内公共场所、室内工作场所内应禁止吸烟和使用电子香烟；所有建筑入口、可开启窗和建筑新风入口周围 7.5m 内禁止吸烟，并有明显的禁烟标识；所有天台、露台、阳台、屋顶和其他常用外部建筑空间禁止吸烟，并有明显的禁烟标识。</w:t>
            </w:r>
          </w:p>
        </w:tc>
      </w:tr>
    </w:tbl>
    <w:p w14:paraId="47282668">
      <w:pPr>
        <w:ind w:firstLine="482"/>
        <w:rPr>
          <w:b/>
          <w:color w:val="auto"/>
        </w:rPr>
      </w:pPr>
      <w:r>
        <w:rPr>
          <w:b/>
          <w:color w:val="auto"/>
        </w:rPr>
        <w:t>3 证明材料</w:t>
      </w:r>
    </w:p>
    <w:p w14:paraId="460E4772">
      <w:pPr>
        <w:ind w:firstLine="480"/>
        <w:rPr>
          <w:color w:val="auto"/>
        </w:rPr>
      </w:pPr>
      <w:r>
        <w:rPr>
          <w:color w:val="auto"/>
        </w:rPr>
        <w:t>提交材料及要求：</w:t>
      </w:r>
    </w:p>
    <w:p w14:paraId="19CD67C2">
      <w:pPr>
        <w:ind w:firstLine="480"/>
        <w:rPr>
          <w:color w:val="auto"/>
        </w:rPr>
      </w:pPr>
      <w:r>
        <w:rPr>
          <w:color w:val="auto"/>
        </w:rPr>
        <w:t>1</w:t>
      </w:r>
      <w:r>
        <w:rPr>
          <w:rFonts w:hint="eastAsia"/>
          <w:color w:val="auto"/>
        </w:rPr>
        <w:t>）建筑室内噪声级报告书 、建筑构件隔声设计报告书 、设计图纸：A-02-01 墙体材料表、A-02-02.1 楼地面用料表 、A-02-02.2 楼地面用料表 、A-02-03 墙面用料表、A-02-04 顶棚用料表、A-02-06 围护结构节能构造做法表。</w:t>
      </w:r>
    </w:p>
    <w:p w14:paraId="5820AAE0">
      <w:pPr>
        <w:pStyle w:val="8"/>
        <w:rPr>
          <w:bCs w:val="0"/>
          <w:color w:val="auto"/>
        </w:rPr>
      </w:pPr>
      <w:r>
        <w:rPr>
          <w:rFonts w:hint="eastAsia"/>
          <w:bCs w:val="0"/>
          <w:color w:val="auto"/>
        </w:rPr>
        <w:t>围护结构热工性能应符合下列规定：屋顶和外墙隔热性能应满足现行国家标准《民用建筑热工设计规范》GB 50176 的要求</w:t>
      </w:r>
      <w:r>
        <w:rPr>
          <w:rFonts w:hint="eastAsia"/>
          <w:color w:val="auto"/>
        </w:rPr>
        <w:t>。</w:t>
      </w:r>
    </w:p>
    <w:p w14:paraId="0DAE2229">
      <w:pPr>
        <w:ind w:firstLine="482"/>
        <w:rPr>
          <w:b/>
          <w:color w:val="auto"/>
        </w:rPr>
      </w:pPr>
      <w:r>
        <w:rPr>
          <w:b/>
          <w:color w:val="auto"/>
        </w:rPr>
        <w:t>1 达标自评</w:t>
      </w:r>
    </w:p>
    <w:p w14:paraId="36BE4F2E">
      <w:pPr>
        <w:ind w:firstLine="480"/>
        <w:rPr>
          <w:color w:val="auto"/>
        </w:rPr>
      </w:pPr>
      <w:r>
        <w:rPr>
          <w:rFonts w:hint="eastAsia"/>
          <w:color w:val="auto"/>
        </w:rPr>
        <w:sym w:font="Wingdings 2" w:char="F052"/>
      </w:r>
      <w:r>
        <w:rPr>
          <w:color w:val="auto"/>
        </w:rPr>
        <w:t>达标；</w:t>
      </w:r>
      <w:r>
        <w:rPr>
          <w:rFonts w:hint="eastAsia"/>
          <w:color w:val="auto"/>
        </w:rPr>
        <w:t>□</w:t>
      </w:r>
      <w:r>
        <w:rPr>
          <w:color w:val="auto"/>
        </w:rPr>
        <w:t>不达标</w:t>
      </w:r>
    </w:p>
    <w:p w14:paraId="0D1A5C65">
      <w:pPr>
        <w:ind w:firstLine="482"/>
        <w:rPr>
          <w:b/>
          <w:color w:val="auto"/>
        </w:rPr>
      </w:pPr>
      <w:r>
        <w:rPr>
          <w:b/>
          <w:color w:val="auto"/>
        </w:rPr>
        <w:t>2 评价要点</w:t>
      </w:r>
    </w:p>
    <w:tbl>
      <w:tblPr>
        <w:tblStyle w:val="34"/>
        <w:tblW w:w="0" w:type="auto"/>
        <w:tblInd w:w="250" w:type="dxa"/>
        <w:tblLayout w:type="autofit"/>
        <w:tblCellMar>
          <w:top w:w="0" w:type="dxa"/>
          <w:left w:w="108" w:type="dxa"/>
          <w:bottom w:w="0" w:type="dxa"/>
          <w:right w:w="108" w:type="dxa"/>
        </w:tblCellMar>
      </w:tblPr>
      <w:tblGrid>
        <w:gridCol w:w="9036"/>
      </w:tblGrid>
      <w:tr w14:paraId="5BA915D0">
        <w:tblPrEx>
          <w:tblCellMar>
            <w:top w:w="0" w:type="dxa"/>
            <w:left w:w="108" w:type="dxa"/>
            <w:bottom w:w="0" w:type="dxa"/>
            <w:right w:w="108" w:type="dxa"/>
          </w:tblCellMar>
        </w:tblPrEx>
        <w:trPr>
          <w:trHeight w:val="958" w:hRule="atLeast"/>
        </w:trPr>
        <w:tc>
          <w:tcPr>
            <w:tcW w:w="9036" w:type="dxa"/>
            <w:noWrap w:val="0"/>
            <w:vAlign w:val="top"/>
          </w:tcPr>
          <w:p w14:paraId="2C7A4F63">
            <w:pPr>
              <w:ind w:firstLine="480"/>
              <w:rPr>
                <w:rFonts w:hint="eastAsia"/>
                <w:color w:val="auto"/>
              </w:rPr>
            </w:pPr>
            <w:r>
              <w:rPr>
                <w:rFonts w:hint="eastAsia"/>
                <w:color w:val="auto"/>
              </w:rPr>
              <w:t>建筑物及其围护结构的保温、防热和防潮性能应符合现行国家标准《民用建筑热工设计规范》GB 50176-2016 的规定。围护结构热工性能比国家现行《公共建筑节能设计标准》GB50189-2015 中规定性指标提高比例达到 10％。</w:t>
            </w:r>
          </w:p>
        </w:tc>
      </w:tr>
    </w:tbl>
    <w:p w14:paraId="3B373FEA">
      <w:pPr>
        <w:ind w:firstLine="482"/>
        <w:rPr>
          <w:b/>
          <w:color w:val="auto"/>
        </w:rPr>
      </w:pPr>
      <w:r>
        <w:rPr>
          <w:b/>
          <w:color w:val="auto"/>
        </w:rPr>
        <w:t>3 证明材料</w:t>
      </w:r>
    </w:p>
    <w:p w14:paraId="189156B8">
      <w:pPr>
        <w:ind w:firstLine="480"/>
        <w:rPr>
          <w:color w:val="auto"/>
        </w:rPr>
      </w:pPr>
      <w:r>
        <w:rPr>
          <w:color w:val="auto"/>
        </w:rPr>
        <w:t>提交材料及要求：</w:t>
      </w:r>
    </w:p>
    <w:p w14:paraId="191A70E9">
      <w:pPr>
        <w:ind w:firstLine="480"/>
        <w:rPr>
          <w:color w:val="auto"/>
        </w:rPr>
      </w:pPr>
      <w:r>
        <w:rPr>
          <w:color w:val="auto"/>
        </w:rPr>
        <w:t>1</w:t>
      </w:r>
      <w:r>
        <w:rPr>
          <w:rFonts w:hint="eastAsia"/>
          <w:color w:val="auto"/>
        </w:rPr>
        <w:t>）建筑材料做法表: A-02-06 围护结构节能构造做法表、建筑围护结构隔热性能计算书、节能计算书。</w:t>
      </w:r>
    </w:p>
    <w:p w14:paraId="488036AA">
      <w:pPr>
        <w:pStyle w:val="8"/>
        <w:rPr>
          <w:bCs w:val="0"/>
          <w:color w:val="auto"/>
        </w:rPr>
      </w:pPr>
      <w:r>
        <w:rPr>
          <w:rFonts w:hint="eastAsia"/>
          <w:bCs w:val="0"/>
          <w:color w:val="auto"/>
        </w:rPr>
        <w:t>停车场应具有电动汽车充电设施或具备充电设施的安装条件，并应合理设置电动汽车和无障碍汽车停车位</w:t>
      </w:r>
      <w:r>
        <w:rPr>
          <w:rFonts w:hint="eastAsia"/>
          <w:color w:val="auto"/>
        </w:rPr>
        <w:t>。</w:t>
      </w:r>
    </w:p>
    <w:p w14:paraId="79F2228E">
      <w:pPr>
        <w:ind w:firstLine="482"/>
        <w:rPr>
          <w:b/>
          <w:color w:val="auto"/>
        </w:rPr>
      </w:pPr>
      <w:r>
        <w:rPr>
          <w:b/>
          <w:color w:val="auto"/>
        </w:rPr>
        <w:t>1 达标自评</w:t>
      </w:r>
    </w:p>
    <w:p w14:paraId="1976807F">
      <w:pPr>
        <w:ind w:firstLine="480"/>
        <w:rPr>
          <w:color w:val="auto"/>
        </w:rPr>
      </w:pPr>
      <w:r>
        <w:rPr>
          <w:rFonts w:hint="eastAsia"/>
          <w:color w:val="auto"/>
        </w:rPr>
        <w:sym w:font="Wingdings 2" w:char="F052"/>
      </w:r>
      <w:r>
        <w:rPr>
          <w:color w:val="auto"/>
        </w:rPr>
        <w:t>达标；</w:t>
      </w:r>
      <w:r>
        <w:rPr>
          <w:rFonts w:hint="eastAsia"/>
          <w:color w:val="auto"/>
        </w:rPr>
        <w:t>□</w:t>
      </w:r>
      <w:r>
        <w:rPr>
          <w:color w:val="auto"/>
        </w:rPr>
        <w:t>不达标</w:t>
      </w:r>
    </w:p>
    <w:p w14:paraId="662312D2">
      <w:pPr>
        <w:ind w:firstLine="482"/>
        <w:rPr>
          <w:b/>
          <w:color w:val="auto"/>
        </w:rPr>
      </w:pPr>
      <w:r>
        <w:rPr>
          <w:b/>
          <w:color w:val="auto"/>
        </w:rPr>
        <w:t>2 评价要点</w:t>
      </w:r>
    </w:p>
    <w:tbl>
      <w:tblPr>
        <w:tblStyle w:val="34"/>
        <w:tblW w:w="0" w:type="auto"/>
        <w:tblInd w:w="250" w:type="dxa"/>
        <w:tblLayout w:type="autofit"/>
        <w:tblCellMar>
          <w:top w:w="0" w:type="dxa"/>
          <w:left w:w="108" w:type="dxa"/>
          <w:bottom w:w="0" w:type="dxa"/>
          <w:right w:w="108" w:type="dxa"/>
        </w:tblCellMar>
      </w:tblPr>
      <w:tblGrid>
        <w:gridCol w:w="9036"/>
      </w:tblGrid>
      <w:tr w14:paraId="4E64754B">
        <w:tblPrEx>
          <w:tblCellMar>
            <w:top w:w="0" w:type="dxa"/>
            <w:left w:w="108" w:type="dxa"/>
            <w:bottom w:w="0" w:type="dxa"/>
            <w:right w:w="108" w:type="dxa"/>
          </w:tblCellMar>
        </w:tblPrEx>
        <w:trPr>
          <w:trHeight w:val="958" w:hRule="atLeast"/>
        </w:trPr>
        <w:tc>
          <w:tcPr>
            <w:tcW w:w="9036" w:type="dxa"/>
            <w:noWrap w:val="0"/>
            <w:vAlign w:val="top"/>
          </w:tcPr>
          <w:p w14:paraId="445182E4">
            <w:pPr>
              <w:ind w:firstLine="480"/>
              <w:rPr>
                <w:rFonts w:hint="eastAsia"/>
                <w:color w:val="auto"/>
              </w:rPr>
            </w:pPr>
            <w:r>
              <w:rPr>
                <w:rFonts w:hint="eastAsia"/>
                <w:color w:val="auto"/>
              </w:rPr>
              <w:t>根据《海南省电动汽车充电基础设施规划(2019-2030)》，充分利用政府机关、公共机构、企事业单位、学校、写字楼、工业园区等内部停车场资源，按不低于 25%的比例规划建设电动汽车专用停车位和充电基础设施，鼓励向社会公众错峰开放。公用充电基础设施以快充为主、慢充为辅。具备安装条件指停车位根据海南省工程建设地方标准《海南省电动汽车充电设施建设技术标准》DBJ 46-041-2019 的规定，进行电力管线预埋和电表箱、电力容量预留等。</w:t>
            </w:r>
          </w:p>
          <w:p w14:paraId="31882B08">
            <w:pPr>
              <w:ind w:firstLine="480"/>
              <w:rPr>
                <w:rFonts w:hint="eastAsia"/>
                <w:color w:val="auto"/>
              </w:rPr>
            </w:pPr>
            <w:r>
              <w:rPr>
                <w:rFonts w:hint="eastAsia"/>
                <w:color w:val="auto"/>
              </w:rPr>
              <w:t>根据崖州湾科技城绿色低碳城市专项规划-单元图则，三亚崖州湾科技城公共教学区（一期）项目属于大型公共建筑，停车场配套快慢结合的公用充电设施，2020 年充电配建指标为10%。本项目机动车停车位 574 辆，其中设置 144 辆充电车位。</w:t>
            </w:r>
          </w:p>
        </w:tc>
      </w:tr>
    </w:tbl>
    <w:p w14:paraId="4657BEEB">
      <w:pPr>
        <w:ind w:firstLine="482"/>
        <w:rPr>
          <w:b/>
          <w:color w:val="auto"/>
        </w:rPr>
      </w:pPr>
      <w:r>
        <w:rPr>
          <w:b/>
          <w:color w:val="auto"/>
        </w:rPr>
        <w:t>3 证明材料</w:t>
      </w:r>
    </w:p>
    <w:p w14:paraId="71A19CA2">
      <w:pPr>
        <w:ind w:firstLine="480"/>
        <w:rPr>
          <w:color w:val="auto"/>
        </w:rPr>
      </w:pPr>
      <w:r>
        <w:rPr>
          <w:color w:val="auto"/>
        </w:rPr>
        <w:t>提交材料及要求：</w:t>
      </w:r>
    </w:p>
    <w:p w14:paraId="7CF925B5">
      <w:pPr>
        <w:ind w:firstLine="480"/>
        <w:rPr>
          <w:color w:val="auto"/>
        </w:rPr>
      </w:pPr>
      <w:r>
        <w:rPr>
          <w:color w:val="auto"/>
        </w:rPr>
        <w:t>1</w:t>
      </w:r>
      <w:r>
        <w:rPr>
          <w:rFonts w:hint="eastAsia"/>
          <w:color w:val="auto"/>
        </w:rPr>
        <w:t>）设计图纸：A-00-03~04 建筑施工图设计说明、E-15-08 停车场管理原理图。</w:t>
      </w:r>
    </w:p>
    <w:p w14:paraId="341BD503">
      <w:pPr>
        <w:pStyle w:val="8"/>
        <w:rPr>
          <w:bCs w:val="0"/>
          <w:color w:val="auto"/>
        </w:rPr>
      </w:pPr>
      <w:r>
        <w:rPr>
          <w:rFonts w:hint="eastAsia"/>
          <w:bCs w:val="0"/>
          <w:color w:val="auto"/>
        </w:rPr>
        <w:t>应结合场地自然条件和建筑功能需求，对建筑的体形、平面布局、空间尺度、围护结构等进行节能设计，且应符合国家 有关节能设计的要求</w:t>
      </w:r>
      <w:r>
        <w:rPr>
          <w:rFonts w:hint="eastAsia"/>
          <w:color w:val="auto"/>
        </w:rPr>
        <w:t>。</w:t>
      </w:r>
    </w:p>
    <w:p w14:paraId="37C7D4B5">
      <w:pPr>
        <w:ind w:firstLine="482"/>
        <w:rPr>
          <w:b/>
          <w:color w:val="auto"/>
        </w:rPr>
      </w:pPr>
      <w:r>
        <w:rPr>
          <w:b/>
          <w:color w:val="auto"/>
        </w:rPr>
        <w:t>1 达标自评</w:t>
      </w:r>
    </w:p>
    <w:p w14:paraId="52B93FDC">
      <w:pPr>
        <w:ind w:firstLine="480"/>
        <w:rPr>
          <w:color w:val="auto"/>
        </w:rPr>
      </w:pPr>
      <w:r>
        <w:rPr>
          <w:rFonts w:hint="eastAsia"/>
          <w:color w:val="auto"/>
        </w:rPr>
        <w:sym w:font="Wingdings 2" w:char="F052"/>
      </w:r>
      <w:r>
        <w:rPr>
          <w:color w:val="auto"/>
        </w:rPr>
        <w:t>达标；</w:t>
      </w:r>
      <w:r>
        <w:rPr>
          <w:rFonts w:hint="eastAsia"/>
          <w:color w:val="auto"/>
        </w:rPr>
        <w:t>□</w:t>
      </w:r>
      <w:r>
        <w:rPr>
          <w:color w:val="auto"/>
        </w:rPr>
        <w:t>不达标</w:t>
      </w:r>
    </w:p>
    <w:p w14:paraId="2C9E20A1">
      <w:pPr>
        <w:ind w:firstLine="482"/>
        <w:rPr>
          <w:b/>
          <w:color w:val="auto"/>
        </w:rPr>
      </w:pPr>
      <w:r>
        <w:rPr>
          <w:b/>
          <w:color w:val="auto"/>
        </w:rPr>
        <w:t>2 评价要点</w:t>
      </w:r>
    </w:p>
    <w:tbl>
      <w:tblPr>
        <w:tblStyle w:val="34"/>
        <w:tblW w:w="0" w:type="auto"/>
        <w:tblInd w:w="250" w:type="dxa"/>
        <w:tblLayout w:type="autofit"/>
        <w:tblCellMar>
          <w:top w:w="0" w:type="dxa"/>
          <w:left w:w="108" w:type="dxa"/>
          <w:bottom w:w="0" w:type="dxa"/>
          <w:right w:w="108" w:type="dxa"/>
        </w:tblCellMar>
      </w:tblPr>
      <w:tblGrid>
        <w:gridCol w:w="9036"/>
      </w:tblGrid>
      <w:tr w14:paraId="2DBB6957">
        <w:tblPrEx>
          <w:tblCellMar>
            <w:top w:w="0" w:type="dxa"/>
            <w:left w:w="108" w:type="dxa"/>
            <w:bottom w:w="0" w:type="dxa"/>
            <w:right w:w="108" w:type="dxa"/>
          </w:tblCellMar>
        </w:tblPrEx>
        <w:trPr>
          <w:trHeight w:val="958" w:hRule="atLeast"/>
        </w:trPr>
        <w:tc>
          <w:tcPr>
            <w:tcW w:w="9036" w:type="dxa"/>
            <w:noWrap w:val="0"/>
            <w:vAlign w:val="top"/>
          </w:tcPr>
          <w:p w14:paraId="0AF6B137">
            <w:pPr>
              <w:ind w:firstLine="480"/>
              <w:rPr>
                <w:rFonts w:hint="eastAsia"/>
                <w:color w:val="auto"/>
              </w:rPr>
            </w:pPr>
            <w:r>
              <w:rPr>
                <w:rFonts w:hint="eastAsia"/>
                <w:color w:val="auto"/>
              </w:rPr>
              <w:t>建筑形体不规则，平面布局合理，建筑物及其围护结构的保温、防热和防潮性能符合现行国家标准《民用建筑热工设计规范》GB 50176-2016 的规定。围护结构热工性能比国家现行相关建筑节能设计标准规定的提高比例达到 10％。</w:t>
            </w:r>
          </w:p>
        </w:tc>
      </w:tr>
    </w:tbl>
    <w:p w14:paraId="470978DB">
      <w:pPr>
        <w:ind w:firstLine="482"/>
        <w:rPr>
          <w:b/>
          <w:color w:val="auto"/>
        </w:rPr>
      </w:pPr>
      <w:r>
        <w:rPr>
          <w:b/>
          <w:color w:val="auto"/>
        </w:rPr>
        <w:t>3 证明材料</w:t>
      </w:r>
    </w:p>
    <w:p w14:paraId="10339856">
      <w:pPr>
        <w:ind w:firstLine="480"/>
        <w:rPr>
          <w:color w:val="auto"/>
        </w:rPr>
      </w:pPr>
      <w:r>
        <w:rPr>
          <w:color w:val="auto"/>
        </w:rPr>
        <w:t>提交材料及要求：</w:t>
      </w:r>
    </w:p>
    <w:p w14:paraId="3C295CF8">
      <w:pPr>
        <w:ind w:firstLine="480"/>
        <w:rPr>
          <w:color w:val="auto"/>
        </w:rPr>
      </w:pPr>
      <w:r>
        <w:rPr>
          <w:color w:val="auto"/>
        </w:rPr>
        <w:t>1</w:t>
      </w:r>
      <w:r>
        <w:rPr>
          <w:rFonts w:hint="eastAsia"/>
          <w:color w:val="auto"/>
        </w:rPr>
        <w:t>）总平面图：A-01-01 总平面图 、鸟瞰图 、单体效果图 、建筑日照模拟、计算报告、设计说明：A-00-01~17 建筑施工图设计说明 、设计图纸: A-02-06 围护结构节能构造做法表、节能计算书。</w:t>
      </w:r>
    </w:p>
    <w:p w14:paraId="7EF3B161">
      <w:pPr>
        <w:pStyle w:val="8"/>
        <w:rPr>
          <w:bCs w:val="0"/>
          <w:color w:val="auto"/>
        </w:rPr>
      </w:pPr>
      <w:r>
        <w:rPr>
          <w:rFonts w:hint="eastAsia"/>
          <w:bCs w:val="0"/>
          <w:color w:val="auto"/>
        </w:rPr>
        <w:t>建筑造型要素应简约，应无大量装饰性构件，并应符合下列规定：住宅建筑的装饰性构件造价占建筑总造价的比例不应大于 2%;公共建筑的装饰性构件造价占建筑总造价的比例不应大于 1%。</w:t>
      </w:r>
    </w:p>
    <w:p w14:paraId="5B706103">
      <w:pPr>
        <w:ind w:firstLine="482"/>
        <w:rPr>
          <w:b/>
          <w:color w:val="auto"/>
        </w:rPr>
      </w:pPr>
      <w:r>
        <w:rPr>
          <w:b/>
          <w:color w:val="auto"/>
        </w:rPr>
        <w:t>1 达标自评</w:t>
      </w:r>
    </w:p>
    <w:p w14:paraId="2E89FA57">
      <w:pPr>
        <w:ind w:firstLine="480"/>
        <w:rPr>
          <w:color w:val="auto"/>
        </w:rPr>
      </w:pPr>
      <w:r>
        <w:rPr>
          <w:rFonts w:hint="eastAsia"/>
          <w:color w:val="auto"/>
        </w:rPr>
        <w:sym w:font="Wingdings 2" w:char="F052"/>
      </w:r>
      <w:r>
        <w:rPr>
          <w:color w:val="auto"/>
        </w:rPr>
        <w:t>达标；</w:t>
      </w:r>
      <w:r>
        <w:rPr>
          <w:rFonts w:hint="eastAsia"/>
          <w:color w:val="auto"/>
        </w:rPr>
        <w:t>□</w:t>
      </w:r>
      <w:r>
        <w:rPr>
          <w:color w:val="auto"/>
        </w:rPr>
        <w:t>不达标</w:t>
      </w:r>
    </w:p>
    <w:p w14:paraId="122484DC">
      <w:pPr>
        <w:ind w:firstLine="482"/>
        <w:rPr>
          <w:b/>
          <w:color w:val="auto"/>
        </w:rPr>
      </w:pPr>
      <w:r>
        <w:rPr>
          <w:b/>
          <w:color w:val="auto"/>
        </w:rPr>
        <w:t>2 评价要点</w:t>
      </w:r>
    </w:p>
    <w:tbl>
      <w:tblPr>
        <w:tblStyle w:val="34"/>
        <w:tblW w:w="0" w:type="auto"/>
        <w:tblInd w:w="250" w:type="dxa"/>
        <w:tblLayout w:type="autofit"/>
        <w:tblCellMar>
          <w:top w:w="0" w:type="dxa"/>
          <w:left w:w="108" w:type="dxa"/>
          <w:bottom w:w="0" w:type="dxa"/>
          <w:right w:w="108" w:type="dxa"/>
        </w:tblCellMar>
      </w:tblPr>
      <w:tblGrid>
        <w:gridCol w:w="4475"/>
        <w:gridCol w:w="4234"/>
      </w:tblGrid>
      <w:tr w14:paraId="338B6C33">
        <w:trPr>
          <w:trHeight w:val="389" w:hRule="atLeast"/>
        </w:trPr>
        <w:tc>
          <w:tcPr>
            <w:tcW w:w="4475" w:type="dxa"/>
            <w:noWrap w:val="0"/>
            <w:vAlign w:val="top"/>
          </w:tcPr>
          <w:p w14:paraId="1D94FF36">
            <w:pPr>
              <w:ind w:firstLine="480"/>
              <w:rPr>
                <w:rFonts w:hint="eastAsia"/>
                <w:color w:val="auto"/>
              </w:rPr>
            </w:pPr>
            <w:r>
              <w:rPr>
                <w:rFonts w:hint="eastAsia"/>
                <w:color w:val="auto"/>
              </w:rPr>
              <w:t>建筑造型要素简约，无装饰性构件。</w:t>
            </w:r>
          </w:p>
        </w:tc>
        <w:tc>
          <w:tcPr>
            <w:tcW w:w="4234" w:type="dxa"/>
            <w:noWrap w:val="0"/>
            <w:vAlign w:val="top"/>
          </w:tcPr>
          <w:p w14:paraId="0E8AEC3B">
            <w:pPr>
              <w:ind w:firstLine="480"/>
              <w:rPr>
                <w:rFonts w:hint="eastAsia"/>
                <w:color w:val="auto"/>
              </w:rPr>
            </w:pPr>
          </w:p>
        </w:tc>
      </w:tr>
    </w:tbl>
    <w:p w14:paraId="0FE39CFF">
      <w:pPr>
        <w:ind w:firstLine="482"/>
        <w:rPr>
          <w:b/>
          <w:color w:val="auto"/>
        </w:rPr>
      </w:pPr>
      <w:r>
        <w:rPr>
          <w:b/>
          <w:color w:val="auto"/>
        </w:rPr>
        <w:t>3 证明材料</w:t>
      </w:r>
    </w:p>
    <w:p w14:paraId="22EF8A64">
      <w:pPr>
        <w:ind w:firstLine="480"/>
        <w:rPr>
          <w:color w:val="auto"/>
        </w:rPr>
      </w:pPr>
      <w:r>
        <w:rPr>
          <w:color w:val="auto"/>
        </w:rPr>
        <w:t>提交材料及要求：</w:t>
      </w:r>
    </w:p>
    <w:p w14:paraId="07E2A2B2">
      <w:pPr>
        <w:ind w:firstLine="480"/>
        <w:rPr>
          <w:color w:val="auto"/>
        </w:rPr>
      </w:pPr>
      <w:r>
        <w:rPr>
          <w:color w:val="auto"/>
        </w:rPr>
        <w:t>1</w:t>
      </w:r>
      <w:r>
        <w:rPr>
          <w:rFonts w:hint="eastAsia"/>
          <w:color w:val="auto"/>
        </w:rPr>
        <w:t>）单体效果图，设计图纸 ：A-20-01 东立面图、A-20-02 南立面图、A-20-03西立面图、A-20-04 北立面图。</w:t>
      </w:r>
    </w:p>
    <w:p w14:paraId="69399951">
      <w:pPr>
        <w:pStyle w:val="8"/>
        <w:rPr>
          <w:color w:val="auto"/>
        </w:rPr>
      </w:pPr>
      <w:r>
        <w:rPr>
          <w:rFonts w:hint="eastAsia"/>
          <w:bCs w:val="0"/>
          <w:color w:val="auto"/>
        </w:rPr>
        <w:t>建筑规划布局应满足日照标准，且不得降低周边建筑的日照标准</w:t>
      </w:r>
      <w:r>
        <w:rPr>
          <w:rFonts w:hint="eastAsia"/>
          <w:color w:val="auto"/>
        </w:rPr>
        <w:t>。</w:t>
      </w:r>
    </w:p>
    <w:p w14:paraId="5022448B">
      <w:pPr>
        <w:ind w:firstLine="482"/>
        <w:rPr>
          <w:b/>
          <w:color w:val="auto"/>
        </w:rPr>
      </w:pPr>
      <w:r>
        <w:rPr>
          <w:b/>
          <w:color w:val="auto"/>
        </w:rPr>
        <w:t>1 达标自评</w:t>
      </w:r>
    </w:p>
    <w:p w14:paraId="0B9E1968">
      <w:pPr>
        <w:ind w:firstLine="480"/>
        <w:rPr>
          <w:color w:val="auto"/>
        </w:rPr>
      </w:pPr>
      <w:r>
        <w:rPr>
          <w:rFonts w:hint="eastAsia"/>
          <w:color w:val="auto"/>
        </w:rPr>
        <w:sym w:font="Wingdings 2" w:char="F052"/>
      </w:r>
      <w:r>
        <w:rPr>
          <w:color w:val="auto"/>
        </w:rPr>
        <w:t>达标；</w:t>
      </w:r>
      <w:r>
        <w:rPr>
          <w:rFonts w:hint="eastAsia"/>
          <w:color w:val="auto"/>
        </w:rPr>
        <w:t>□</w:t>
      </w:r>
      <w:r>
        <w:rPr>
          <w:color w:val="auto"/>
        </w:rPr>
        <w:t>不达标</w:t>
      </w:r>
    </w:p>
    <w:p w14:paraId="328730BE">
      <w:pPr>
        <w:ind w:firstLine="482"/>
        <w:rPr>
          <w:b/>
          <w:color w:val="auto"/>
        </w:rPr>
      </w:pPr>
      <w:r>
        <w:rPr>
          <w:b/>
          <w:color w:val="auto"/>
        </w:rPr>
        <w:t>2 评价要点</w:t>
      </w:r>
    </w:p>
    <w:p w14:paraId="5D5BA3D7">
      <w:pPr>
        <w:pStyle w:val="6"/>
        <w:ind w:firstLine="480"/>
        <w:rPr>
          <w:rFonts w:hint="eastAsia"/>
          <w:color w:val="auto"/>
        </w:rPr>
      </w:pPr>
      <w:r>
        <w:rPr>
          <w:rFonts w:hint="eastAsia"/>
          <w:color w:val="auto"/>
        </w:rPr>
        <w:t>建筑规划布局满足日照标准及控制性详规的要求，周边无住宅、幼儿园、学校等有日照标准要求的建筑。</w:t>
      </w:r>
    </w:p>
    <w:p w14:paraId="783F213F">
      <w:pPr>
        <w:ind w:firstLine="482"/>
        <w:rPr>
          <w:b/>
          <w:color w:val="auto"/>
        </w:rPr>
      </w:pPr>
      <w:r>
        <w:rPr>
          <w:b/>
          <w:color w:val="auto"/>
        </w:rPr>
        <w:t>3 证明材料</w:t>
      </w:r>
    </w:p>
    <w:p w14:paraId="15FDCE43">
      <w:pPr>
        <w:ind w:firstLine="480"/>
        <w:rPr>
          <w:color w:val="auto"/>
        </w:rPr>
      </w:pPr>
      <w:r>
        <w:rPr>
          <w:color w:val="auto"/>
        </w:rPr>
        <w:t>提交材料及要求：</w:t>
      </w:r>
    </w:p>
    <w:p w14:paraId="12EBE5E3">
      <w:pPr>
        <w:ind w:firstLine="480"/>
        <w:rPr>
          <w:color w:val="auto"/>
        </w:rPr>
      </w:pPr>
      <w:r>
        <w:rPr>
          <w:color w:val="auto"/>
        </w:rPr>
        <w:t>1</w:t>
      </w:r>
      <w:r>
        <w:rPr>
          <w:rFonts w:hint="eastAsia"/>
          <w:color w:val="auto"/>
        </w:rPr>
        <w:t>）总平面图：A-01-01 总平面图 、日照计算分析报告。</w:t>
      </w:r>
    </w:p>
    <w:p w14:paraId="38432A86">
      <w:pPr>
        <w:pStyle w:val="8"/>
        <w:rPr>
          <w:bCs w:val="0"/>
          <w:color w:val="auto"/>
        </w:rPr>
      </w:pPr>
      <w:r>
        <w:rPr>
          <w:rFonts w:hint="eastAsia"/>
          <w:bCs w:val="0"/>
          <w:color w:val="auto"/>
        </w:rPr>
        <w:t>配建的绿地应符合所在地城乡规划的要求，应合理选择绿化方式，植物种植应适应当地气候和土壤，且应无毒害、易维护，种植区域覆土深度和排水能力应满足植物生长需求，配建的绿地应符合所在地城乡规划的要求，应合理选择绿化方式，植物种植应适应当地气候和土壤，且应无毒害、易维护，种植区域覆土深度和排水能力应满足植物生长需求，并应采用复层绿化方式</w:t>
      </w:r>
      <w:r>
        <w:rPr>
          <w:rFonts w:hint="eastAsia"/>
          <w:color w:val="auto"/>
        </w:rPr>
        <w:t>。</w:t>
      </w:r>
    </w:p>
    <w:p w14:paraId="21618273">
      <w:pPr>
        <w:ind w:firstLine="482"/>
        <w:rPr>
          <w:b/>
          <w:color w:val="auto"/>
        </w:rPr>
      </w:pPr>
      <w:r>
        <w:rPr>
          <w:b/>
          <w:color w:val="auto"/>
        </w:rPr>
        <w:t>1 达标自评</w:t>
      </w:r>
    </w:p>
    <w:p w14:paraId="1E860667">
      <w:pPr>
        <w:ind w:firstLine="480"/>
        <w:rPr>
          <w:color w:val="auto"/>
        </w:rPr>
      </w:pPr>
      <w:r>
        <w:rPr>
          <w:rFonts w:hint="eastAsia"/>
          <w:color w:val="auto"/>
        </w:rPr>
        <w:sym w:font="Wingdings 2" w:char="F052"/>
      </w:r>
      <w:r>
        <w:rPr>
          <w:color w:val="auto"/>
        </w:rPr>
        <w:t>达标；</w:t>
      </w:r>
      <w:r>
        <w:rPr>
          <w:rFonts w:hint="eastAsia"/>
          <w:color w:val="auto"/>
        </w:rPr>
        <w:t>□</w:t>
      </w:r>
      <w:r>
        <w:rPr>
          <w:color w:val="auto"/>
        </w:rPr>
        <w:t>不达标</w:t>
      </w:r>
    </w:p>
    <w:p w14:paraId="133A038B">
      <w:pPr>
        <w:ind w:firstLine="482"/>
        <w:rPr>
          <w:b/>
          <w:color w:val="auto"/>
        </w:rPr>
      </w:pPr>
      <w:r>
        <w:rPr>
          <w:b/>
          <w:color w:val="auto"/>
        </w:rPr>
        <w:t>2 评价要点</w:t>
      </w:r>
    </w:p>
    <w:p w14:paraId="70CA0C60">
      <w:pPr>
        <w:pStyle w:val="6"/>
        <w:ind w:firstLine="480"/>
        <w:rPr>
          <w:rFonts w:hint="eastAsia"/>
          <w:color w:val="auto"/>
        </w:rPr>
      </w:pPr>
      <w:r>
        <w:rPr>
          <w:rFonts w:hint="eastAsia"/>
          <w:color w:val="auto"/>
        </w:rPr>
        <w:t>本项目场地绿化面积 12787m2 ，绿化率 40%，采用乔、灌、草复层绿化方式，绿化采用适应本地气候和土壤要求的植物。本项目设地面绿化、屋顶绿化及架空层绿化，各项均按照要求总计入绿地率，满足 40%绿地率要求。</w:t>
      </w:r>
    </w:p>
    <w:p w14:paraId="45CBBD0C">
      <w:pPr>
        <w:ind w:firstLine="482"/>
        <w:rPr>
          <w:b/>
          <w:color w:val="auto"/>
        </w:rPr>
      </w:pPr>
      <w:r>
        <w:rPr>
          <w:b/>
          <w:color w:val="auto"/>
        </w:rPr>
        <w:t>3 证明材料</w:t>
      </w:r>
    </w:p>
    <w:p w14:paraId="38C59FB2">
      <w:pPr>
        <w:ind w:firstLine="480"/>
        <w:rPr>
          <w:color w:val="auto"/>
        </w:rPr>
      </w:pPr>
      <w:r>
        <w:rPr>
          <w:color w:val="auto"/>
        </w:rPr>
        <w:t>提交材料及要求：</w:t>
      </w:r>
    </w:p>
    <w:p w14:paraId="2D45276D">
      <w:pPr>
        <w:ind w:firstLine="480"/>
        <w:rPr>
          <w:color w:val="auto"/>
        </w:rPr>
      </w:pPr>
      <w:r>
        <w:rPr>
          <w:color w:val="auto"/>
        </w:rPr>
        <w:t>1</w:t>
      </w:r>
      <w:r>
        <w:rPr>
          <w:rFonts w:hint="eastAsia"/>
          <w:color w:val="auto"/>
        </w:rPr>
        <w:t>）设计图纸：A-01-01 总平面图。</w:t>
      </w:r>
    </w:p>
    <w:p w14:paraId="5D8E1383">
      <w:pPr>
        <w:pStyle w:val="8"/>
        <w:rPr>
          <w:color w:val="auto"/>
        </w:rPr>
      </w:pPr>
      <w:r>
        <w:rPr>
          <w:rFonts w:hint="eastAsia"/>
          <w:bCs w:val="0"/>
          <w:color w:val="auto"/>
        </w:rPr>
        <w:t>建筑内外均应设置便于识别和使用的标识系统</w:t>
      </w:r>
      <w:r>
        <w:rPr>
          <w:rFonts w:hint="eastAsia"/>
          <w:color w:val="auto"/>
        </w:rPr>
        <w:t>。</w:t>
      </w:r>
    </w:p>
    <w:p w14:paraId="664E9F4F">
      <w:pPr>
        <w:ind w:firstLine="482"/>
        <w:rPr>
          <w:b/>
          <w:color w:val="auto"/>
        </w:rPr>
      </w:pPr>
      <w:r>
        <w:rPr>
          <w:b/>
          <w:color w:val="auto"/>
        </w:rPr>
        <w:t>1 达标自评</w:t>
      </w:r>
    </w:p>
    <w:p w14:paraId="7982B40E">
      <w:pPr>
        <w:ind w:firstLine="480"/>
        <w:rPr>
          <w:color w:val="auto"/>
        </w:rPr>
      </w:pPr>
      <w:r>
        <w:rPr>
          <w:rFonts w:hint="eastAsia"/>
          <w:color w:val="auto"/>
        </w:rPr>
        <w:sym w:font="Wingdings 2" w:char="F052"/>
      </w:r>
      <w:r>
        <w:rPr>
          <w:color w:val="auto"/>
        </w:rPr>
        <w:t>达标；</w:t>
      </w:r>
      <w:r>
        <w:rPr>
          <w:rFonts w:hint="eastAsia"/>
          <w:color w:val="auto"/>
        </w:rPr>
        <w:t>□</w:t>
      </w:r>
      <w:r>
        <w:rPr>
          <w:color w:val="auto"/>
        </w:rPr>
        <w:t>不达标</w:t>
      </w:r>
    </w:p>
    <w:p w14:paraId="141A8078">
      <w:pPr>
        <w:ind w:firstLine="482"/>
        <w:rPr>
          <w:b/>
          <w:color w:val="auto"/>
        </w:rPr>
      </w:pPr>
      <w:r>
        <w:rPr>
          <w:b/>
          <w:color w:val="auto"/>
        </w:rPr>
        <w:t>2 评价要点</w:t>
      </w:r>
    </w:p>
    <w:p w14:paraId="4BAD9334">
      <w:pPr>
        <w:pStyle w:val="6"/>
        <w:ind w:firstLine="480"/>
        <w:rPr>
          <w:rFonts w:hint="eastAsia"/>
          <w:color w:val="auto"/>
        </w:rPr>
      </w:pPr>
      <w:r>
        <w:rPr>
          <w:rFonts w:hint="eastAsia"/>
          <w:color w:val="auto"/>
        </w:rPr>
        <w:t>建筑内外根据现行国家标准《公共建筑标识系统技术规范》GB/T 51223-2017的规定，设置便于识别和使用的标识系统，例如：①在显著位置上设置提醒人们注意安全的警示标志，比如禁止攀爬、禁止倚靠、禁止伸出窗外、禁止抛物、注意安全、当心碰头、当心夹手、当心车辆、当心坠落、当心滑倒、当心落水等；②在显著位置上设置安全引导指示标志，包括紧急出口标志、急救点标志、报警点标志等。</w:t>
      </w:r>
    </w:p>
    <w:p w14:paraId="3BC15223">
      <w:pPr>
        <w:ind w:firstLine="482"/>
        <w:rPr>
          <w:b/>
          <w:color w:val="auto"/>
        </w:rPr>
      </w:pPr>
      <w:r>
        <w:rPr>
          <w:b/>
          <w:color w:val="auto"/>
        </w:rPr>
        <w:t>3 证明材料</w:t>
      </w:r>
    </w:p>
    <w:p w14:paraId="0C190B36">
      <w:pPr>
        <w:ind w:firstLine="480"/>
        <w:rPr>
          <w:color w:val="auto"/>
        </w:rPr>
      </w:pPr>
      <w:r>
        <w:rPr>
          <w:color w:val="auto"/>
        </w:rPr>
        <w:t>提交材料及要求：</w:t>
      </w:r>
    </w:p>
    <w:p w14:paraId="3725B8A1">
      <w:pPr>
        <w:ind w:firstLine="480"/>
        <w:rPr>
          <w:color w:val="auto"/>
        </w:rPr>
      </w:pPr>
      <w:r>
        <w:rPr>
          <w:color w:val="auto"/>
        </w:rPr>
        <w:t>1</w:t>
      </w:r>
      <w:r>
        <w:rPr>
          <w:rFonts w:hint="eastAsia"/>
          <w:color w:val="auto"/>
        </w:rPr>
        <w:t>）标识系统设计说明：A-00-01~17 建筑施工图设计说明。</w:t>
      </w:r>
    </w:p>
    <w:p w14:paraId="1BA4ADEE">
      <w:pPr>
        <w:pStyle w:val="8"/>
        <w:rPr>
          <w:color w:val="auto"/>
        </w:rPr>
      </w:pPr>
      <w:r>
        <w:rPr>
          <w:rFonts w:hint="eastAsia"/>
          <w:bCs w:val="0"/>
          <w:color w:val="auto"/>
        </w:rPr>
        <w:t>生活垃圾应分类收集，垃圾容器和收集点的设置应合理并应与周围景观协调</w:t>
      </w:r>
      <w:r>
        <w:rPr>
          <w:rFonts w:hint="eastAsia"/>
          <w:color w:val="auto"/>
        </w:rPr>
        <w:t>。</w:t>
      </w:r>
    </w:p>
    <w:p w14:paraId="043E6E7B">
      <w:pPr>
        <w:ind w:firstLine="482"/>
        <w:rPr>
          <w:b/>
          <w:color w:val="auto"/>
        </w:rPr>
      </w:pPr>
      <w:r>
        <w:rPr>
          <w:b/>
          <w:color w:val="auto"/>
        </w:rPr>
        <w:t>1 达标自评</w:t>
      </w:r>
    </w:p>
    <w:p w14:paraId="2B888386">
      <w:pPr>
        <w:ind w:firstLine="480"/>
        <w:rPr>
          <w:color w:val="auto"/>
        </w:rPr>
      </w:pPr>
      <w:r>
        <w:rPr>
          <w:rFonts w:hint="eastAsia"/>
          <w:color w:val="auto"/>
        </w:rPr>
        <w:sym w:font="Wingdings 2" w:char="F052"/>
      </w:r>
      <w:r>
        <w:rPr>
          <w:color w:val="auto"/>
        </w:rPr>
        <w:t>达标；</w:t>
      </w:r>
      <w:r>
        <w:rPr>
          <w:rFonts w:hint="eastAsia"/>
          <w:color w:val="auto"/>
        </w:rPr>
        <w:t>□</w:t>
      </w:r>
      <w:r>
        <w:rPr>
          <w:color w:val="auto"/>
        </w:rPr>
        <w:t>不达标</w:t>
      </w:r>
    </w:p>
    <w:p w14:paraId="31E366AC">
      <w:pPr>
        <w:ind w:firstLine="482"/>
        <w:rPr>
          <w:b/>
          <w:color w:val="auto"/>
        </w:rPr>
      </w:pPr>
      <w:r>
        <w:rPr>
          <w:b/>
          <w:color w:val="auto"/>
        </w:rPr>
        <w:t>2 评价要点</w:t>
      </w:r>
    </w:p>
    <w:p w14:paraId="204ED96E">
      <w:pPr>
        <w:pStyle w:val="6"/>
        <w:ind w:firstLine="480"/>
        <w:rPr>
          <w:rFonts w:hint="eastAsia"/>
          <w:color w:val="auto"/>
        </w:rPr>
      </w:pPr>
      <w:r>
        <w:rPr>
          <w:rFonts w:hint="eastAsia"/>
          <w:color w:val="auto"/>
        </w:rPr>
        <w:t>根据 2019 年 6 月 25 日三亚市住房和城乡建设局发布的《三亚市生活垃圾分类指导意见》（征求意见稿），全市生活垃圾分类推行“有害垃圾、易腐垃圾（即湿垃圾）、可回收物、其他垃圾（即干垃圾）”四种分类，由具备资质的企业定时到收集点收集或智能生活垃圾分类柜进行分类收集。</w:t>
      </w:r>
    </w:p>
    <w:p w14:paraId="1CA4E451">
      <w:pPr>
        <w:ind w:firstLine="482"/>
        <w:rPr>
          <w:b/>
          <w:color w:val="auto"/>
        </w:rPr>
      </w:pPr>
      <w:r>
        <w:rPr>
          <w:b/>
          <w:color w:val="auto"/>
        </w:rPr>
        <w:t>3 证明材料</w:t>
      </w:r>
    </w:p>
    <w:p w14:paraId="124A806F">
      <w:pPr>
        <w:ind w:firstLine="480"/>
        <w:rPr>
          <w:color w:val="auto"/>
        </w:rPr>
      </w:pPr>
      <w:r>
        <w:rPr>
          <w:color w:val="auto"/>
        </w:rPr>
        <w:t>提交材料及要求：</w:t>
      </w:r>
    </w:p>
    <w:p w14:paraId="32A7EBD4">
      <w:pPr>
        <w:ind w:firstLine="480"/>
        <w:rPr>
          <w:rFonts w:hint="eastAsia"/>
          <w:color w:val="auto"/>
        </w:rPr>
        <w:sectPr>
          <w:headerReference r:id="rId23" w:type="default"/>
          <w:pgSz w:w="11906" w:h="16838"/>
          <w:pgMar w:top="1418" w:right="1418" w:bottom="1418" w:left="1418" w:header="851" w:footer="992" w:gutter="0"/>
          <w:cols w:space="720" w:num="1"/>
          <w:docGrid w:type="lines" w:linePitch="312" w:charSpace="0"/>
        </w:sectPr>
      </w:pPr>
      <w:r>
        <w:rPr>
          <w:color w:val="auto"/>
        </w:rPr>
        <w:t>1</w:t>
      </w:r>
      <w:r>
        <w:rPr>
          <w:rFonts w:hint="eastAsia"/>
          <w:color w:val="auto"/>
        </w:rPr>
        <w:t>）总平面图：A-01-01 总平面图。</w:t>
      </w:r>
    </w:p>
    <w:p w14:paraId="047C044C">
      <w:pPr>
        <w:pStyle w:val="3"/>
        <w:rPr>
          <w:rFonts w:hint="eastAsia"/>
          <w:color w:val="auto"/>
        </w:rPr>
      </w:pPr>
      <w:bookmarkStart w:id="99" w:name="_Toc101458194"/>
      <w:bookmarkStart w:id="100" w:name="_Toc21677"/>
      <w:r>
        <w:rPr>
          <w:rFonts w:hint="eastAsia"/>
          <w:color w:val="auto"/>
        </w:rPr>
        <w:t>技术创新与应用</w:t>
      </w:r>
      <w:bookmarkEnd w:id="99"/>
      <w:bookmarkEnd w:id="100"/>
    </w:p>
    <w:p w14:paraId="03672A49">
      <w:pPr>
        <w:pStyle w:val="84"/>
        <w:rPr>
          <w:color w:val="auto"/>
        </w:rPr>
      </w:pPr>
      <w:r>
        <w:rPr>
          <w:rFonts w:hint="eastAsia"/>
          <w:color w:val="auto"/>
        </w:rPr>
        <w:t>根据本工程条件和技术特点，结合我司技术优势，我们将在本工程中推广应用“新工艺、新技术、新设备、新材料”，具体参见下表。</w:t>
      </w:r>
    </w:p>
    <w:p w14:paraId="5BE97C43">
      <w:pPr>
        <w:pStyle w:val="77"/>
        <w:snapToGrid/>
        <w:spacing w:before="24" w:beforeLines="10" w:after="24" w:afterLines="10" w:line="432" w:lineRule="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插表 新技术推广应用计划一览表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772"/>
        <w:gridCol w:w="4323"/>
        <w:gridCol w:w="1610"/>
      </w:tblGrid>
      <w:tr w14:paraId="6A90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17" w:type="dxa"/>
            <w:noWrap w:val="0"/>
            <w:vAlign w:val="center"/>
          </w:tcPr>
          <w:p w14:paraId="5FC6BFC5">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序号</w:t>
            </w:r>
          </w:p>
        </w:tc>
        <w:tc>
          <w:tcPr>
            <w:tcW w:w="1772" w:type="dxa"/>
            <w:noWrap w:val="0"/>
            <w:vAlign w:val="center"/>
          </w:tcPr>
          <w:p w14:paraId="1947480A">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大项目</w:t>
            </w:r>
          </w:p>
        </w:tc>
        <w:tc>
          <w:tcPr>
            <w:tcW w:w="4323" w:type="dxa"/>
            <w:noWrap w:val="0"/>
            <w:vAlign w:val="center"/>
          </w:tcPr>
          <w:p w14:paraId="117EF0E8">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新技术项目名称</w:t>
            </w:r>
          </w:p>
        </w:tc>
        <w:tc>
          <w:tcPr>
            <w:tcW w:w="1610" w:type="dxa"/>
            <w:noWrap w:val="0"/>
            <w:vAlign w:val="center"/>
          </w:tcPr>
          <w:p w14:paraId="410D4B45">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应用部位</w:t>
            </w:r>
          </w:p>
        </w:tc>
      </w:tr>
      <w:tr w14:paraId="57D2B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restart"/>
            <w:noWrap w:val="0"/>
            <w:vAlign w:val="center"/>
          </w:tcPr>
          <w:p w14:paraId="43DC4BB1">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1</w:t>
            </w:r>
          </w:p>
        </w:tc>
        <w:tc>
          <w:tcPr>
            <w:tcW w:w="1772" w:type="dxa"/>
            <w:vMerge w:val="restart"/>
            <w:noWrap w:val="0"/>
            <w:vAlign w:val="center"/>
          </w:tcPr>
          <w:p w14:paraId="40C4A9C8">
            <w:pPr>
              <w:pStyle w:val="61"/>
              <w:spacing w:line="240" w:lineRule="auto"/>
              <w:rPr>
                <w:rFonts w:hint="eastAsia" w:ascii="宋体" w:hAnsi="宋体" w:eastAsia="宋体" w:cs="Times New Roman"/>
                <w:color w:val="auto"/>
              </w:rPr>
            </w:pPr>
            <w:r>
              <w:rPr>
                <w:rFonts w:ascii="宋体" w:hAnsi="宋体" w:eastAsia="宋体" w:cs="Times New Roman"/>
                <w:color w:val="auto"/>
              </w:rPr>
              <w:t>2</w:t>
            </w:r>
            <w:r>
              <w:rPr>
                <w:rFonts w:hint="eastAsia" w:ascii="宋体" w:hAnsi="宋体" w:eastAsia="宋体" w:cs="Times New Roman"/>
                <w:color w:val="auto"/>
              </w:rPr>
              <w:t>钢筋与混凝土技术</w:t>
            </w:r>
          </w:p>
        </w:tc>
        <w:tc>
          <w:tcPr>
            <w:tcW w:w="4323" w:type="dxa"/>
            <w:noWrap w:val="0"/>
            <w:vAlign w:val="center"/>
          </w:tcPr>
          <w:p w14:paraId="5D388B49">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2</w:t>
            </w:r>
            <w:r>
              <w:rPr>
                <w:rFonts w:ascii="宋体" w:hAnsi="宋体" w:eastAsia="宋体" w:cs="Times New Roman"/>
                <w:color w:val="auto"/>
              </w:rPr>
              <w:t>.1</w:t>
            </w:r>
            <w:r>
              <w:rPr>
                <w:rFonts w:hint="eastAsia" w:ascii="宋体" w:hAnsi="宋体" w:eastAsia="宋体" w:cs="Times New Roman"/>
                <w:color w:val="auto"/>
              </w:rPr>
              <w:t>高耐久性混凝土技术</w:t>
            </w:r>
          </w:p>
        </w:tc>
        <w:tc>
          <w:tcPr>
            <w:tcW w:w="1610" w:type="dxa"/>
            <w:vMerge w:val="restart"/>
            <w:noWrap w:val="0"/>
            <w:vAlign w:val="center"/>
          </w:tcPr>
          <w:p w14:paraId="1E870F8E">
            <w:pPr>
              <w:pStyle w:val="61"/>
              <w:spacing w:line="240" w:lineRule="auto"/>
              <w:rPr>
                <w:rFonts w:hint="eastAsia" w:ascii="宋体" w:hAnsi="宋体" w:eastAsia="宋体" w:cs="Times New Roman"/>
                <w:color w:val="auto"/>
              </w:rPr>
            </w:pPr>
            <w:r>
              <w:rPr>
                <w:rFonts w:hint="eastAsia" w:ascii="宋体" w:hAnsi="宋体" w:eastAsia="宋体" w:cs="Times New Roman"/>
                <w:color w:val="auto"/>
                <w:lang w:val="en-US" w:eastAsia="zh-CN"/>
              </w:rPr>
              <w:t>地下室</w:t>
            </w:r>
            <w:r>
              <w:rPr>
                <w:rFonts w:hint="eastAsia" w:ascii="宋体" w:hAnsi="宋体" w:eastAsia="宋体" w:cs="Times New Roman"/>
                <w:color w:val="auto"/>
              </w:rPr>
              <w:t>主体工程</w:t>
            </w:r>
          </w:p>
        </w:tc>
      </w:tr>
      <w:tr w14:paraId="2015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74F77210">
            <w:pPr>
              <w:pStyle w:val="61"/>
              <w:spacing w:line="240" w:lineRule="auto"/>
              <w:rPr>
                <w:rFonts w:hint="eastAsia" w:ascii="宋体" w:hAnsi="宋体" w:eastAsia="宋体" w:cs="Times New Roman"/>
                <w:color w:val="auto"/>
              </w:rPr>
            </w:pPr>
          </w:p>
        </w:tc>
        <w:tc>
          <w:tcPr>
            <w:tcW w:w="1772" w:type="dxa"/>
            <w:vMerge w:val="continue"/>
            <w:noWrap w:val="0"/>
            <w:vAlign w:val="center"/>
          </w:tcPr>
          <w:p w14:paraId="132CB894">
            <w:pPr>
              <w:pStyle w:val="61"/>
              <w:spacing w:line="240" w:lineRule="auto"/>
              <w:rPr>
                <w:rFonts w:ascii="宋体" w:hAnsi="宋体" w:eastAsia="宋体" w:cs="Times New Roman"/>
                <w:color w:val="auto"/>
              </w:rPr>
            </w:pPr>
          </w:p>
        </w:tc>
        <w:tc>
          <w:tcPr>
            <w:tcW w:w="4323" w:type="dxa"/>
            <w:noWrap w:val="0"/>
            <w:vAlign w:val="center"/>
          </w:tcPr>
          <w:p w14:paraId="2ADC9000">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2</w:t>
            </w:r>
            <w:r>
              <w:rPr>
                <w:rFonts w:ascii="宋体" w:hAnsi="宋体" w:eastAsia="宋体" w:cs="Times New Roman"/>
                <w:color w:val="auto"/>
              </w:rPr>
              <w:t>.3</w:t>
            </w:r>
            <w:r>
              <w:rPr>
                <w:rFonts w:hint="eastAsia" w:ascii="宋体" w:hAnsi="宋体" w:eastAsia="宋体" w:cs="Times New Roman"/>
                <w:color w:val="auto"/>
              </w:rPr>
              <w:t>自密实混凝土技术</w:t>
            </w:r>
          </w:p>
        </w:tc>
        <w:tc>
          <w:tcPr>
            <w:tcW w:w="1610" w:type="dxa"/>
            <w:vMerge w:val="continue"/>
            <w:noWrap w:val="0"/>
            <w:vAlign w:val="center"/>
          </w:tcPr>
          <w:p w14:paraId="07BE4222">
            <w:pPr>
              <w:pStyle w:val="61"/>
              <w:spacing w:line="240" w:lineRule="auto"/>
              <w:rPr>
                <w:rFonts w:hint="eastAsia" w:ascii="宋体" w:hAnsi="宋体" w:eastAsia="宋体" w:cs="Times New Roman"/>
                <w:color w:val="auto"/>
              </w:rPr>
            </w:pPr>
          </w:p>
        </w:tc>
      </w:tr>
      <w:tr w14:paraId="7A9C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5D1C992C">
            <w:pPr>
              <w:pStyle w:val="61"/>
              <w:spacing w:line="240" w:lineRule="auto"/>
              <w:rPr>
                <w:rFonts w:hint="eastAsia" w:ascii="宋体" w:hAnsi="宋体" w:eastAsia="宋体" w:cs="Times New Roman"/>
                <w:color w:val="auto"/>
              </w:rPr>
            </w:pPr>
          </w:p>
        </w:tc>
        <w:tc>
          <w:tcPr>
            <w:tcW w:w="1772" w:type="dxa"/>
            <w:vMerge w:val="continue"/>
            <w:noWrap w:val="0"/>
            <w:vAlign w:val="center"/>
          </w:tcPr>
          <w:p w14:paraId="119AC24B">
            <w:pPr>
              <w:pStyle w:val="61"/>
              <w:spacing w:line="240" w:lineRule="auto"/>
              <w:rPr>
                <w:rFonts w:ascii="宋体" w:hAnsi="宋体" w:eastAsia="宋体" w:cs="Times New Roman"/>
                <w:color w:val="auto"/>
              </w:rPr>
            </w:pPr>
          </w:p>
        </w:tc>
        <w:tc>
          <w:tcPr>
            <w:tcW w:w="4323" w:type="dxa"/>
            <w:noWrap w:val="0"/>
            <w:vAlign w:val="center"/>
          </w:tcPr>
          <w:p w14:paraId="3391E92D">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2.5混凝土裂缝控制技术</w:t>
            </w:r>
          </w:p>
        </w:tc>
        <w:tc>
          <w:tcPr>
            <w:tcW w:w="1610" w:type="dxa"/>
            <w:vMerge w:val="continue"/>
            <w:noWrap w:val="0"/>
            <w:vAlign w:val="center"/>
          </w:tcPr>
          <w:p w14:paraId="24AAADD0">
            <w:pPr>
              <w:pStyle w:val="61"/>
              <w:spacing w:line="240" w:lineRule="auto"/>
              <w:rPr>
                <w:rFonts w:hint="eastAsia" w:ascii="宋体" w:hAnsi="宋体" w:eastAsia="宋体" w:cs="Times New Roman"/>
                <w:color w:val="auto"/>
              </w:rPr>
            </w:pPr>
          </w:p>
        </w:tc>
      </w:tr>
      <w:tr w14:paraId="2058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4697D4A2">
            <w:pPr>
              <w:pStyle w:val="61"/>
              <w:spacing w:line="240" w:lineRule="auto"/>
              <w:rPr>
                <w:rFonts w:hint="eastAsia" w:ascii="宋体" w:hAnsi="宋体" w:eastAsia="宋体" w:cs="Times New Roman"/>
                <w:color w:val="auto"/>
              </w:rPr>
            </w:pPr>
          </w:p>
        </w:tc>
        <w:tc>
          <w:tcPr>
            <w:tcW w:w="1772" w:type="dxa"/>
            <w:vMerge w:val="continue"/>
            <w:noWrap w:val="0"/>
            <w:vAlign w:val="center"/>
          </w:tcPr>
          <w:p w14:paraId="483E5E2F">
            <w:pPr>
              <w:pStyle w:val="61"/>
              <w:spacing w:line="240" w:lineRule="auto"/>
              <w:rPr>
                <w:rFonts w:ascii="宋体" w:hAnsi="宋体" w:eastAsia="宋体" w:cs="Times New Roman"/>
                <w:color w:val="auto"/>
              </w:rPr>
            </w:pPr>
          </w:p>
        </w:tc>
        <w:tc>
          <w:tcPr>
            <w:tcW w:w="4323" w:type="dxa"/>
            <w:noWrap w:val="0"/>
            <w:vAlign w:val="center"/>
          </w:tcPr>
          <w:p w14:paraId="32F64507">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2</w:t>
            </w:r>
            <w:r>
              <w:rPr>
                <w:rFonts w:ascii="宋体" w:hAnsi="宋体" w:eastAsia="宋体" w:cs="Times New Roman"/>
                <w:color w:val="auto"/>
              </w:rPr>
              <w:t>.7</w:t>
            </w:r>
            <w:r>
              <w:rPr>
                <w:rFonts w:hint="eastAsia" w:ascii="宋体" w:hAnsi="宋体" w:eastAsia="宋体" w:cs="Times New Roman"/>
                <w:color w:val="auto"/>
              </w:rPr>
              <w:t>高强钢筋应用技术</w:t>
            </w:r>
          </w:p>
        </w:tc>
        <w:tc>
          <w:tcPr>
            <w:tcW w:w="1610" w:type="dxa"/>
            <w:vMerge w:val="continue"/>
            <w:noWrap w:val="0"/>
            <w:vAlign w:val="center"/>
          </w:tcPr>
          <w:p w14:paraId="063415C5">
            <w:pPr>
              <w:pStyle w:val="61"/>
              <w:spacing w:line="240" w:lineRule="auto"/>
              <w:rPr>
                <w:rFonts w:hint="eastAsia" w:ascii="宋体" w:hAnsi="宋体" w:eastAsia="宋体" w:cs="Times New Roman"/>
                <w:color w:val="auto"/>
              </w:rPr>
            </w:pPr>
          </w:p>
        </w:tc>
      </w:tr>
      <w:tr w14:paraId="3BF7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4A67ABF1">
            <w:pPr>
              <w:pStyle w:val="61"/>
              <w:spacing w:line="240" w:lineRule="auto"/>
              <w:rPr>
                <w:rFonts w:hint="eastAsia" w:ascii="宋体" w:hAnsi="宋体" w:eastAsia="宋体" w:cs="Times New Roman"/>
                <w:color w:val="auto"/>
              </w:rPr>
            </w:pPr>
          </w:p>
        </w:tc>
        <w:tc>
          <w:tcPr>
            <w:tcW w:w="1772" w:type="dxa"/>
            <w:vMerge w:val="continue"/>
            <w:noWrap w:val="0"/>
            <w:vAlign w:val="center"/>
          </w:tcPr>
          <w:p w14:paraId="0FAC2528">
            <w:pPr>
              <w:pStyle w:val="61"/>
              <w:spacing w:line="240" w:lineRule="auto"/>
              <w:rPr>
                <w:rFonts w:ascii="宋体" w:hAnsi="宋体" w:eastAsia="宋体" w:cs="Times New Roman"/>
                <w:color w:val="auto"/>
              </w:rPr>
            </w:pPr>
          </w:p>
        </w:tc>
        <w:tc>
          <w:tcPr>
            <w:tcW w:w="4323" w:type="dxa"/>
            <w:noWrap w:val="0"/>
            <w:vAlign w:val="center"/>
          </w:tcPr>
          <w:p w14:paraId="61C912A4">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2</w:t>
            </w:r>
            <w:r>
              <w:rPr>
                <w:rFonts w:ascii="宋体" w:hAnsi="宋体" w:eastAsia="宋体" w:cs="Times New Roman"/>
                <w:color w:val="auto"/>
              </w:rPr>
              <w:t>.8</w:t>
            </w:r>
            <w:r>
              <w:rPr>
                <w:rFonts w:hint="eastAsia" w:ascii="宋体" w:hAnsi="宋体" w:eastAsia="宋体" w:cs="Times New Roman"/>
                <w:color w:val="auto"/>
              </w:rPr>
              <w:t>高强钢筋直螺纹连接技术</w:t>
            </w:r>
          </w:p>
        </w:tc>
        <w:tc>
          <w:tcPr>
            <w:tcW w:w="1610" w:type="dxa"/>
            <w:vMerge w:val="continue"/>
            <w:noWrap w:val="0"/>
            <w:vAlign w:val="center"/>
          </w:tcPr>
          <w:p w14:paraId="35DB5ECD">
            <w:pPr>
              <w:pStyle w:val="61"/>
              <w:spacing w:line="240" w:lineRule="auto"/>
              <w:rPr>
                <w:rFonts w:hint="eastAsia" w:ascii="宋体" w:hAnsi="宋体" w:eastAsia="宋体" w:cs="Times New Roman"/>
                <w:color w:val="auto"/>
              </w:rPr>
            </w:pPr>
          </w:p>
        </w:tc>
      </w:tr>
      <w:tr w14:paraId="14E9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noWrap w:val="0"/>
            <w:vAlign w:val="center"/>
          </w:tcPr>
          <w:p w14:paraId="169CEC24">
            <w:pPr>
              <w:pStyle w:val="61"/>
              <w:spacing w:line="240" w:lineRule="auto"/>
              <w:rPr>
                <w:rFonts w:hint="eastAsia" w:ascii="宋体" w:hAnsi="宋体" w:eastAsia="宋体" w:cs="Times New Roman"/>
                <w:color w:val="auto"/>
              </w:rPr>
            </w:pPr>
          </w:p>
        </w:tc>
        <w:tc>
          <w:tcPr>
            <w:tcW w:w="1772" w:type="dxa"/>
            <w:noWrap w:val="0"/>
            <w:vAlign w:val="center"/>
          </w:tcPr>
          <w:p w14:paraId="172B882C">
            <w:pPr>
              <w:pStyle w:val="61"/>
              <w:spacing w:line="240" w:lineRule="auto"/>
              <w:rPr>
                <w:rFonts w:ascii="宋体" w:hAnsi="宋体" w:eastAsia="宋体" w:cs="Times New Roman"/>
                <w:color w:val="auto"/>
              </w:rPr>
            </w:pPr>
          </w:p>
        </w:tc>
        <w:tc>
          <w:tcPr>
            <w:tcW w:w="4323" w:type="dxa"/>
            <w:noWrap w:val="0"/>
            <w:vAlign w:val="center"/>
          </w:tcPr>
          <w:p w14:paraId="0028F850">
            <w:pPr>
              <w:pStyle w:val="61"/>
              <w:spacing w:line="240" w:lineRule="auto"/>
              <w:rPr>
                <w:rFonts w:hint="eastAsia" w:ascii="宋体" w:hAnsi="宋体" w:eastAsia="宋体" w:cs="Times New Roman"/>
                <w:color w:val="auto"/>
              </w:rPr>
            </w:pPr>
            <w:r>
              <w:rPr>
                <w:rFonts w:hint="eastAsia" w:ascii="宋体" w:hAnsi="宋体" w:eastAsia="宋体" w:cs="Times New Roman"/>
                <w:color w:val="auto"/>
                <w:lang w:val="en-US" w:eastAsia="zh-CN"/>
              </w:rPr>
              <w:t>2.9 钢筋焊接网应用技术</w:t>
            </w:r>
          </w:p>
        </w:tc>
        <w:tc>
          <w:tcPr>
            <w:tcW w:w="1610" w:type="dxa"/>
            <w:noWrap w:val="0"/>
            <w:vAlign w:val="center"/>
          </w:tcPr>
          <w:p w14:paraId="51875B61">
            <w:pPr>
              <w:pStyle w:val="61"/>
              <w:spacing w:line="240" w:lineRule="auto"/>
              <w:rPr>
                <w:rFonts w:hint="eastAsia" w:ascii="宋体" w:hAnsi="宋体" w:eastAsia="宋体" w:cs="Times New Roman"/>
                <w:color w:val="auto"/>
              </w:rPr>
            </w:pPr>
          </w:p>
        </w:tc>
      </w:tr>
      <w:tr w14:paraId="0F7E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noWrap w:val="0"/>
            <w:vAlign w:val="center"/>
          </w:tcPr>
          <w:p w14:paraId="107E9AC8">
            <w:pPr>
              <w:pStyle w:val="61"/>
              <w:spacing w:line="240" w:lineRule="auto"/>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2</w:t>
            </w:r>
          </w:p>
        </w:tc>
        <w:tc>
          <w:tcPr>
            <w:tcW w:w="1772" w:type="dxa"/>
            <w:noWrap w:val="0"/>
            <w:vAlign w:val="center"/>
          </w:tcPr>
          <w:p w14:paraId="225F762B">
            <w:pPr>
              <w:pStyle w:val="61"/>
              <w:spacing w:line="240" w:lineRule="auto"/>
              <w:rPr>
                <w:rFonts w:ascii="宋体" w:hAnsi="宋体" w:eastAsia="宋体" w:cs="Times New Roman"/>
                <w:color w:val="auto"/>
              </w:rPr>
            </w:pPr>
            <w:r>
              <w:rPr>
                <w:rFonts w:hint="eastAsia" w:ascii="宋体" w:hAnsi="宋体" w:eastAsia="宋体" w:cs="Times New Roman"/>
                <w:color w:val="auto"/>
                <w:lang w:val="en-US" w:eastAsia="zh-CN"/>
              </w:rPr>
              <w:t>3</w:t>
            </w:r>
            <w:r>
              <w:rPr>
                <w:rFonts w:hint="eastAsia" w:ascii="宋体" w:hAnsi="宋体" w:eastAsia="宋体" w:cs="Times New Roman"/>
                <w:color w:val="auto"/>
              </w:rPr>
              <w:t>模板脚手架技术</w:t>
            </w:r>
          </w:p>
        </w:tc>
        <w:tc>
          <w:tcPr>
            <w:tcW w:w="4323" w:type="dxa"/>
            <w:noWrap w:val="0"/>
            <w:vAlign w:val="center"/>
          </w:tcPr>
          <w:p w14:paraId="2421A763">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3</w:t>
            </w:r>
            <w:r>
              <w:rPr>
                <w:rFonts w:ascii="宋体" w:hAnsi="宋体" w:eastAsia="宋体" w:cs="Times New Roman"/>
                <w:color w:val="auto"/>
              </w:rPr>
              <w:t>.1</w:t>
            </w:r>
            <w:r>
              <w:rPr>
                <w:rFonts w:hint="eastAsia" w:ascii="宋体" w:hAnsi="宋体" w:eastAsia="宋体" w:cs="Times New Roman"/>
                <w:color w:val="auto"/>
              </w:rPr>
              <w:t>销键型脚手架及支撑架</w:t>
            </w:r>
          </w:p>
        </w:tc>
        <w:tc>
          <w:tcPr>
            <w:tcW w:w="1610" w:type="dxa"/>
            <w:noWrap w:val="0"/>
            <w:vAlign w:val="center"/>
          </w:tcPr>
          <w:p w14:paraId="185D3D72">
            <w:pPr>
              <w:pStyle w:val="61"/>
              <w:spacing w:line="240" w:lineRule="auto"/>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主体结构</w:t>
            </w:r>
          </w:p>
        </w:tc>
      </w:tr>
      <w:tr w14:paraId="32BA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restart"/>
            <w:noWrap w:val="0"/>
            <w:vAlign w:val="center"/>
          </w:tcPr>
          <w:p w14:paraId="33BB23DA">
            <w:pPr>
              <w:pStyle w:val="61"/>
              <w:spacing w:line="240" w:lineRule="auto"/>
              <w:rPr>
                <w:rFonts w:hint="eastAsia" w:ascii="宋体" w:hAnsi="宋体" w:eastAsia="宋体" w:cs="Times New Roman"/>
                <w:color w:val="auto"/>
                <w:lang w:eastAsia="zh-CN"/>
              </w:rPr>
            </w:pPr>
            <w:r>
              <w:rPr>
                <w:rFonts w:hint="eastAsia" w:ascii="宋体" w:hAnsi="宋体" w:eastAsia="宋体" w:cs="Times New Roman"/>
                <w:color w:val="auto"/>
                <w:lang w:val="en-US" w:eastAsia="zh-CN"/>
              </w:rPr>
              <w:t>3</w:t>
            </w:r>
          </w:p>
        </w:tc>
        <w:tc>
          <w:tcPr>
            <w:tcW w:w="1772" w:type="dxa"/>
            <w:vMerge w:val="restart"/>
            <w:noWrap w:val="0"/>
            <w:vAlign w:val="center"/>
          </w:tcPr>
          <w:p w14:paraId="7A061071">
            <w:pPr>
              <w:pStyle w:val="61"/>
              <w:spacing w:line="240" w:lineRule="auto"/>
              <w:rPr>
                <w:rFonts w:hint="eastAsia" w:ascii="宋体" w:hAnsi="宋体" w:eastAsia="宋体" w:cs="Times New Roman"/>
                <w:color w:val="auto"/>
              </w:rPr>
            </w:pPr>
            <w:r>
              <w:rPr>
                <w:rFonts w:ascii="宋体" w:hAnsi="宋体" w:eastAsia="宋体" w:cs="Times New Roman"/>
                <w:color w:val="auto"/>
              </w:rPr>
              <w:t>4</w:t>
            </w:r>
            <w:r>
              <w:rPr>
                <w:rFonts w:hint="eastAsia" w:ascii="宋体" w:hAnsi="宋体" w:eastAsia="宋体" w:cs="Times New Roman"/>
                <w:color w:val="auto"/>
              </w:rPr>
              <w:t>装配式混凝土结构技术</w:t>
            </w:r>
          </w:p>
        </w:tc>
        <w:tc>
          <w:tcPr>
            <w:tcW w:w="4323" w:type="dxa"/>
            <w:noWrap w:val="0"/>
            <w:vAlign w:val="center"/>
          </w:tcPr>
          <w:p w14:paraId="5A08C9A6">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4</w:t>
            </w:r>
            <w:r>
              <w:rPr>
                <w:rFonts w:ascii="宋体" w:hAnsi="宋体" w:eastAsia="宋体" w:cs="Times New Roman"/>
                <w:color w:val="auto"/>
              </w:rPr>
              <w:t>.3</w:t>
            </w:r>
            <w:r>
              <w:rPr>
                <w:rFonts w:hint="eastAsia" w:ascii="宋体" w:hAnsi="宋体" w:eastAsia="宋体" w:cs="Times New Roman"/>
                <w:color w:val="auto"/>
              </w:rPr>
              <w:t>混凝土叠合楼板技术</w:t>
            </w:r>
          </w:p>
        </w:tc>
        <w:tc>
          <w:tcPr>
            <w:tcW w:w="1610" w:type="dxa"/>
            <w:noWrap w:val="0"/>
            <w:vAlign w:val="center"/>
          </w:tcPr>
          <w:p w14:paraId="246E9DE2">
            <w:pPr>
              <w:pStyle w:val="61"/>
              <w:spacing w:line="240" w:lineRule="auto"/>
              <w:rPr>
                <w:rFonts w:hint="default" w:ascii="宋体" w:hAnsi="宋体" w:eastAsia="宋体" w:cs="Times New Roman"/>
                <w:color w:val="auto"/>
                <w:lang w:val="en-US" w:eastAsia="zh-CN"/>
              </w:rPr>
            </w:pPr>
            <w:r>
              <w:rPr>
                <w:rFonts w:hint="eastAsia" w:ascii="宋体" w:hAnsi="宋体" w:eastAsia="宋体" w:cs="Times New Roman"/>
                <w:color w:val="auto"/>
                <w:lang w:val="en-US" w:eastAsia="zh-CN"/>
              </w:rPr>
              <w:t>主楼、裙楼主体结构</w:t>
            </w:r>
          </w:p>
        </w:tc>
      </w:tr>
      <w:tr w14:paraId="4DCE7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6F9FB7D3">
            <w:pPr>
              <w:pStyle w:val="61"/>
              <w:spacing w:line="240" w:lineRule="auto"/>
              <w:rPr>
                <w:rFonts w:hint="eastAsia" w:ascii="宋体" w:hAnsi="宋体" w:eastAsia="宋体" w:cs="Times New Roman"/>
                <w:color w:val="auto"/>
              </w:rPr>
            </w:pPr>
          </w:p>
        </w:tc>
        <w:tc>
          <w:tcPr>
            <w:tcW w:w="1772" w:type="dxa"/>
            <w:vMerge w:val="continue"/>
            <w:noWrap w:val="0"/>
            <w:vAlign w:val="center"/>
          </w:tcPr>
          <w:p w14:paraId="0D922E19">
            <w:pPr>
              <w:pStyle w:val="61"/>
              <w:spacing w:line="240" w:lineRule="auto"/>
              <w:rPr>
                <w:rFonts w:hint="eastAsia" w:ascii="宋体" w:hAnsi="宋体" w:eastAsia="宋体" w:cs="Times New Roman"/>
                <w:color w:val="auto"/>
              </w:rPr>
            </w:pPr>
          </w:p>
        </w:tc>
        <w:tc>
          <w:tcPr>
            <w:tcW w:w="4323" w:type="dxa"/>
            <w:noWrap w:val="0"/>
            <w:vAlign w:val="center"/>
          </w:tcPr>
          <w:p w14:paraId="0395DE50">
            <w:pPr>
              <w:pStyle w:val="61"/>
              <w:spacing w:line="240" w:lineRule="auto"/>
              <w:rPr>
                <w:rFonts w:hint="eastAsia" w:ascii="宋体" w:hAnsi="宋体" w:eastAsia="宋体" w:cs="Times New Roman"/>
                <w:color w:val="auto"/>
              </w:rPr>
            </w:pPr>
            <w:r>
              <w:rPr>
                <w:rFonts w:ascii="宋体" w:hAnsi="宋体" w:eastAsia="宋体" w:cs="Times New Roman"/>
                <w:color w:val="auto"/>
              </w:rPr>
              <w:t xml:space="preserve">4.10 </w:t>
            </w:r>
            <w:r>
              <w:rPr>
                <w:rFonts w:hint="eastAsia" w:ascii="宋体" w:hAnsi="宋体" w:eastAsia="宋体" w:cs="Times New Roman"/>
                <w:color w:val="auto"/>
              </w:rPr>
              <w:t>预制构件工厂化生产加工技术</w:t>
            </w:r>
          </w:p>
        </w:tc>
        <w:tc>
          <w:tcPr>
            <w:tcW w:w="1610" w:type="dxa"/>
            <w:noWrap w:val="0"/>
            <w:vAlign w:val="center"/>
          </w:tcPr>
          <w:p w14:paraId="40557184">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预制内隔墙、预制楼板</w:t>
            </w:r>
          </w:p>
        </w:tc>
      </w:tr>
      <w:tr w14:paraId="5FCE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noWrap w:val="0"/>
            <w:vAlign w:val="center"/>
          </w:tcPr>
          <w:p w14:paraId="22C77B7C">
            <w:pPr>
              <w:pStyle w:val="61"/>
              <w:spacing w:line="240" w:lineRule="auto"/>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4</w:t>
            </w:r>
          </w:p>
        </w:tc>
        <w:tc>
          <w:tcPr>
            <w:tcW w:w="1772" w:type="dxa"/>
            <w:noWrap w:val="0"/>
            <w:vAlign w:val="center"/>
          </w:tcPr>
          <w:p w14:paraId="60B1D73E">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5钢结构技术</w:t>
            </w:r>
          </w:p>
        </w:tc>
        <w:tc>
          <w:tcPr>
            <w:tcW w:w="4323" w:type="dxa"/>
            <w:noWrap w:val="0"/>
            <w:vAlign w:val="center"/>
          </w:tcPr>
          <w:p w14:paraId="2F0D4885">
            <w:pPr>
              <w:pStyle w:val="61"/>
              <w:spacing w:line="240" w:lineRule="auto"/>
              <w:rPr>
                <w:rFonts w:ascii="宋体" w:hAnsi="宋体" w:eastAsia="宋体" w:cs="Times New Roman"/>
                <w:color w:val="auto"/>
              </w:rPr>
            </w:pPr>
            <w:r>
              <w:rPr>
                <w:rFonts w:hint="eastAsia" w:ascii="宋体" w:hAnsi="宋体" w:eastAsia="宋体" w:cs="Times New Roman"/>
                <w:color w:val="auto"/>
              </w:rPr>
              <w:t>5</w:t>
            </w:r>
            <w:r>
              <w:rPr>
                <w:rFonts w:ascii="宋体" w:hAnsi="宋体" w:eastAsia="宋体" w:cs="Times New Roman"/>
                <w:color w:val="auto"/>
              </w:rPr>
              <w:t xml:space="preserve">.8 </w:t>
            </w:r>
            <w:r>
              <w:rPr>
                <w:rFonts w:hint="eastAsia" w:ascii="宋体" w:hAnsi="宋体" w:eastAsia="宋体" w:cs="Times New Roman"/>
                <w:color w:val="auto"/>
              </w:rPr>
              <w:t>钢结构混凝土组合结构应用技术</w:t>
            </w:r>
          </w:p>
        </w:tc>
        <w:tc>
          <w:tcPr>
            <w:tcW w:w="1610" w:type="dxa"/>
            <w:noWrap w:val="0"/>
            <w:vAlign w:val="center"/>
          </w:tcPr>
          <w:p w14:paraId="6160713A">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主体钢结构钢梁施工</w:t>
            </w:r>
          </w:p>
        </w:tc>
      </w:tr>
      <w:tr w14:paraId="3079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restart"/>
            <w:noWrap w:val="0"/>
            <w:vAlign w:val="center"/>
          </w:tcPr>
          <w:p w14:paraId="3E2DEA4C">
            <w:pPr>
              <w:pStyle w:val="61"/>
              <w:spacing w:line="240" w:lineRule="auto"/>
              <w:rPr>
                <w:rFonts w:hint="eastAsia" w:ascii="宋体" w:hAnsi="宋体" w:eastAsia="宋体" w:cs="Times New Roman"/>
                <w:color w:val="auto"/>
                <w:lang w:eastAsia="zh-CN"/>
              </w:rPr>
            </w:pPr>
            <w:r>
              <w:rPr>
                <w:rFonts w:hint="eastAsia" w:ascii="宋体" w:hAnsi="宋体" w:eastAsia="宋体" w:cs="Times New Roman"/>
                <w:color w:val="auto"/>
                <w:lang w:val="en-US" w:eastAsia="zh-CN"/>
              </w:rPr>
              <w:t>5</w:t>
            </w:r>
          </w:p>
        </w:tc>
        <w:tc>
          <w:tcPr>
            <w:tcW w:w="1772" w:type="dxa"/>
            <w:vMerge w:val="restart"/>
            <w:noWrap w:val="0"/>
            <w:vAlign w:val="center"/>
          </w:tcPr>
          <w:p w14:paraId="2BE92B26">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6机电安装工程技术</w:t>
            </w:r>
          </w:p>
        </w:tc>
        <w:tc>
          <w:tcPr>
            <w:tcW w:w="4323" w:type="dxa"/>
            <w:noWrap w:val="0"/>
            <w:vAlign w:val="center"/>
          </w:tcPr>
          <w:p w14:paraId="3DCD62CB">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6</w:t>
            </w:r>
            <w:r>
              <w:rPr>
                <w:rFonts w:ascii="宋体" w:hAnsi="宋体" w:eastAsia="宋体" w:cs="Times New Roman"/>
                <w:color w:val="auto"/>
              </w:rPr>
              <w:t>.1</w:t>
            </w:r>
            <w:r>
              <w:rPr>
                <w:rFonts w:hint="eastAsia" w:ascii="宋体" w:hAnsi="宋体" w:eastAsia="宋体" w:cs="Times New Roman"/>
                <w:color w:val="auto"/>
              </w:rPr>
              <w:t>基于BIM的管线综合技术</w:t>
            </w:r>
          </w:p>
        </w:tc>
        <w:tc>
          <w:tcPr>
            <w:tcW w:w="1610" w:type="dxa"/>
            <w:noWrap w:val="0"/>
            <w:vAlign w:val="center"/>
          </w:tcPr>
          <w:p w14:paraId="374DAB2E">
            <w:pPr>
              <w:pStyle w:val="61"/>
              <w:spacing w:line="240" w:lineRule="auto"/>
              <w:rPr>
                <w:rFonts w:hint="eastAsia" w:ascii="宋体" w:hAnsi="宋体" w:eastAsia="宋体" w:cs="Times New Roman"/>
                <w:color w:val="auto"/>
                <w:lang w:val="en-US" w:eastAsia="zh-CN"/>
              </w:rPr>
            </w:pPr>
            <w:r>
              <w:rPr>
                <w:rFonts w:hint="eastAsia" w:ascii="宋体" w:hAnsi="宋体" w:eastAsia="宋体" w:cs="Times New Roman"/>
                <w:color w:val="auto"/>
              </w:rPr>
              <w:t>管线BIM模型</w:t>
            </w:r>
          </w:p>
        </w:tc>
      </w:tr>
      <w:tr w14:paraId="31F0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07A39AD4">
            <w:pPr>
              <w:pStyle w:val="61"/>
              <w:spacing w:line="240" w:lineRule="auto"/>
              <w:rPr>
                <w:rFonts w:hint="eastAsia" w:ascii="宋体" w:hAnsi="宋体" w:eastAsia="宋体" w:cs="Times New Roman"/>
                <w:color w:val="auto"/>
                <w:lang w:eastAsia="zh-CN"/>
              </w:rPr>
            </w:pPr>
          </w:p>
        </w:tc>
        <w:tc>
          <w:tcPr>
            <w:tcW w:w="1772" w:type="dxa"/>
            <w:vMerge w:val="continue"/>
            <w:noWrap w:val="0"/>
            <w:vAlign w:val="center"/>
          </w:tcPr>
          <w:p w14:paraId="35A5EC90">
            <w:pPr>
              <w:pStyle w:val="61"/>
              <w:spacing w:line="240" w:lineRule="auto"/>
              <w:rPr>
                <w:rFonts w:hint="eastAsia" w:ascii="宋体" w:hAnsi="宋体" w:eastAsia="宋体" w:cs="Times New Roman"/>
                <w:color w:val="auto"/>
              </w:rPr>
            </w:pPr>
          </w:p>
        </w:tc>
        <w:tc>
          <w:tcPr>
            <w:tcW w:w="4323" w:type="dxa"/>
            <w:noWrap w:val="0"/>
            <w:vAlign w:val="center"/>
          </w:tcPr>
          <w:p w14:paraId="3F1D0813">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6.6 薄壁金属管道新型连接安装施工技术</w:t>
            </w:r>
          </w:p>
        </w:tc>
        <w:tc>
          <w:tcPr>
            <w:tcW w:w="1610" w:type="dxa"/>
            <w:noWrap w:val="0"/>
            <w:vAlign w:val="center"/>
          </w:tcPr>
          <w:p w14:paraId="65575363">
            <w:pPr>
              <w:pStyle w:val="61"/>
              <w:spacing w:line="240" w:lineRule="auto"/>
              <w:rPr>
                <w:rFonts w:hint="eastAsia" w:ascii="宋体" w:hAnsi="宋体" w:eastAsia="宋体" w:cs="Times New Roman"/>
                <w:color w:val="auto"/>
              </w:rPr>
            </w:pPr>
            <w:r>
              <w:rPr>
                <w:rFonts w:hint="eastAsia" w:ascii="宋体" w:hAnsi="宋体" w:eastAsia="宋体" w:cs="Times New Roman"/>
                <w:color w:val="auto"/>
                <w:lang w:val="en-US" w:eastAsia="zh-CN"/>
              </w:rPr>
              <w:t>机电安装</w:t>
            </w:r>
          </w:p>
        </w:tc>
      </w:tr>
      <w:tr w14:paraId="4B10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restart"/>
            <w:noWrap w:val="0"/>
            <w:vAlign w:val="center"/>
          </w:tcPr>
          <w:p w14:paraId="050DCC17">
            <w:pPr>
              <w:pStyle w:val="61"/>
              <w:spacing w:line="240" w:lineRule="auto"/>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6</w:t>
            </w:r>
          </w:p>
        </w:tc>
        <w:tc>
          <w:tcPr>
            <w:tcW w:w="1772" w:type="dxa"/>
            <w:vMerge w:val="restart"/>
            <w:noWrap w:val="0"/>
            <w:vAlign w:val="center"/>
          </w:tcPr>
          <w:p w14:paraId="29B57339">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7绿色施工技术</w:t>
            </w:r>
          </w:p>
        </w:tc>
        <w:tc>
          <w:tcPr>
            <w:tcW w:w="4323" w:type="dxa"/>
            <w:noWrap w:val="0"/>
            <w:vAlign w:val="center"/>
          </w:tcPr>
          <w:p w14:paraId="7C1D5FD7">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7</w:t>
            </w:r>
            <w:r>
              <w:rPr>
                <w:rFonts w:ascii="宋体" w:hAnsi="宋体" w:eastAsia="宋体" w:cs="Times New Roman"/>
                <w:color w:val="auto"/>
              </w:rPr>
              <w:t>.3</w:t>
            </w:r>
            <w:r>
              <w:rPr>
                <w:rFonts w:hint="eastAsia" w:ascii="宋体" w:hAnsi="宋体" w:eastAsia="宋体" w:cs="Times New Roman"/>
                <w:color w:val="auto"/>
              </w:rPr>
              <w:t>施工现场太阳能、空气能利用技术</w:t>
            </w:r>
          </w:p>
        </w:tc>
        <w:tc>
          <w:tcPr>
            <w:tcW w:w="1610" w:type="dxa"/>
            <w:noWrap w:val="0"/>
            <w:vAlign w:val="center"/>
          </w:tcPr>
          <w:p w14:paraId="542429F4">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施工全过程</w:t>
            </w:r>
          </w:p>
        </w:tc>
      </w:tr>
      <w:tr w14:paraId="0412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629A5487">
            <w:pPr>
              <w:pStyle w:val="61"/>
              <w:spacing w:line="240" w:lineRule="auto"/>
              <w:rPr>
                <w:rFonts w:hint="eastAsia" w:ascii="宋体" w:hAnsi="宋体" w:eastAsia="宋体" w:cs="Times New Roman"/>
                <w:color w:val="auto"/>
              </w:rPr>
            </w:pPr>
          </w:p>
        </w:tc>
        <w:tc>
          <w:tcPr>
            <w:tcW w:w="1772" w:type="dxa"/>
            <w:vMerge w:val="continue"/>
            <w:noWrap w:val="0"/>
            <w:vAlign w:val="center"/>
          </w:tcPr>
          <w:p w14:paraId="7487DAC6">
            <w:pPr>
              <w:pStyle w:val="61"/>
              <w:spacing w:line="240" w:lineRule="auto"/>
              <w:rPr>
                <w:rFonts w:hint="eastAsia" w:ascii="宋体" w:hAnsi="宋体" w:eastAsia="宋体" w:cs="Times New Roman"/>
                <w:color w:val="auto"/>
              </w:rPr>
            </w:pPr>
          </w:p>
        </w:tc>
        <w:tc>
          <w:tcPr>
            <w:tcW w:w="4323" w:type="dxa"/>
            <w:noWrap w:val="0"/>
            <w:vAlign w:val="center"/>
          </w:tcPr>
          <w:p w14:paraId="6DF96692">
            <w:pPr>
              <w:pStyle w:val="61"/>
              <w:spacing w:line="240" w:lineRule="auto"/>
              <w:rPr>
                <w:rFonts w:hint="eastAsia" w:ascii="宋体" w:hAnsi="宋体" w:eastAsia="宋体" w:cs="Times New Roman"/>
                <w:color w:val="auto"/>
              </w:rPr>
            </w:pPr>
            <w:r>
              <w:rPr>
                <w:rFonts w:ascii="宋体" w:hAnsi="宋体" w:eastAsia="宋体" w:cs="Times New Roman"/>
                <w:color w:val="auto"/>
              </w:rPr>
              <w:t xml:space="preserve">7.4 </w:t>
            </w:r>
            <w:r>
              <w:rPr>
                <w:rFonts w:hint="eastAsia" w:ascii="宋体" w:hAnsi="宋体" w:eastAsia="宋体" w:cs="Times New Roman"/>
                <w:color w:val="auto"/>
              </w:rPr>
              <w:t>施工扬尘控制技术</w:t>
            </w:r>
          </w:p>
        </w:tc>
        <w:tc>
          <w:tcPr>
            <w:tcW w:w="1610" w:type="dxa"/>
            <w:noWrap w:val="0"/>
            <w:vAlign w:val="center"/>
          </w:tcPr>
          <w:p w14:paraId="7EBB9E18">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自动喷淋系统、雾炮机、扬尘监测</w:t>
            </w:r>
          </w:p>
        </w:tc>
      </w:tr>
      <w:tr w14:paraId="3522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140A79F8">
            <w:pPr>
              <w:pStyle w:val="61"/>
              <w:spacing w:line="240" w:lineRule="auto"/>
              <w:rPr>
                <w:rFonts w:hint="eastAsia" w:ascii="宋体" w:hAnsi="宋体" w:eastAsia="宋体" w:cs="Times New Roman"/>
                <w:color w:val="auto"/>
              </w:rPr>
            </w:pPr>
          </w:p>
        </w:tc>
        <w:tc>
          <w:tcPr>
            <w:tcW w:w="1772" w:type="dxa"/>
            <w:vMerge w:val="continue"/>
            <w:noWrap w:val="0"/>
            <w:vAlign w:val="center"/>
          </w:tcPr>
          <w:p w14:paraId="34F1949E">
            <w:pPr>
              <w:pStyle w:val="61"/>
              <w:spacing w:line="240" w:lineRule="auto"/>
              <w:rPr>
                <w:rFonts w:hint="eastAsia" w:ascii="宋体" w:hAnsi="宋体" w:eastAsia="宋体" w:cs="Times New Roman"/>
                <w:color w:val="auto"/>
              </w:rPr>
            </w:pPr>
          </w:p>
        </w:tc>
        <w:tc>
          <w:tcPr>
            <w:tcW w:w="4323" w:type="dxa"/>
            <w:noWrap w:val="0"/>
            <w:vAlign w:val="center"/>
          </w:tcPr>
          <w:p w14:paraId="4B4967E4">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7</w:t>
            </w:r>
            <w:r>
              <w:rPr>
                <w:rFonts w:ascii="宋体" w:hAnsi="宋体" w:eastAsia="宋体" w:cs="Times New Roman"/>
                <w:color w:val="auto"/>
              </w:rPr>
              <w:t xml:space="preserve">.7 </w:t>
            </w:r>
            <w:r>
              <w:rPr>
                <w:rFonts w:hint="eastAsia" w:ascii="宋体" w:hAnsi="宋体" w:eastAsia="宋体" w:cs="Times New Roman"/>
                <w:color w:val="auto"/>
              </w:rPr>
              <w:t>工具式定型化临时设施技术</w:t>
            </w:r>
          </w:p>
        </w:tc>
        <w:tc>
          <w:tcPr>
            <w:tcW w:w="1610" w:type="dxa"/>
            <w:noWrap w:val="0"/>
            <w:vAlign w:val="center"/>
          </w:tcPr>
          <w:p w14:paraId="14BC2F66">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加工棚、通道</w:t>
            </w:r>
          </w:p>
        </w:tc>
      </w:tr>
      <w:tr w14:paraId="65F0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3FDF7686">
            <w:pPr>
              <w:pStyle w:val="61"/>
              <w:spacing w:line="240" w:lineRule="auto"/>
              <w:rPr>
                <w:rFonts w:hint="eastAsia" w:ascii="宋体" w:hAnsi="宋体" w:eastAsia="宋体" w:cs="Times New Roman"/>
                <w:color w:val="auto"/>
              </w:rPr>
            </w:pPr>
          </w:p>
        </w:tc>
        <w:tc>
          <w:tcPr>
            <w:tcW w:w="1772" w:type="dxa"/>
            <w:vMerge w:val="continue"/>
            <w:noWrap w:val="0"/>
            <w:vAlign w:val="center"/>
          </w:tcPr>
          <w:p w14:paraId="7AA8B5D2">
            <w:pPr>
              <w:pStyle w:val="61"/>
              <w:spacing w:line="240" w:lineRule="auto"/>
              <w:rPr>
                <w:rFonts w:hint="eastAsia" w:ascii="宋体" w:hAnsi="宋体" w:eastAsia="宋体" w:cs="Times New Roman"/>
                <w:color w:val="auto"/>
              </w:rPr>
            </w:pPr>
          </w:p>
        </w:tc>
        <w:tc>
          <w:tcPr>
            <w:tcW w:w="4323" w:type="dxa"/>
            <w:noWrap w:val="0"/>
            <w:vAlign w:val="center"/>
          </w:tcPr>
          <w:p w14:paraId="6234EC7B">
            <w:pPr>
              <w:pStyle w:val="61"/>
              <w:spacing w:line="240" w:lineRule="auto"/>
              <w:rPr>
                <w:rFonts w:hint="eastAsia" w:ascii="宋体" w:hAnsi="宋体" w:eastAsia="宋体" w:cs="Times New Roman"/>
                <w:color w:val="auto"/>
              </w:rPr>
            </w:pPr>
            <w:r>
              <w:rPr>
                <w:rFonts w:ascii="宋体" w:hAnsi="宋体" w:eastAsia="宋体" w:cs="Times New Roman"/>
                <w:color w:val="auto"/>
                <w:lang w:val="en-US" w:eastAsia="zh-CN"/>
              </w:rPr>
              <w:t xml:space="preserve">7.5 施工噪声控制技术 </w:t>
            </w:r>
          </w:p>
        </w:tc>
        <w:tc>
          <w:tcPr>
            <w:tcW w:w="1610" w:type="dxa"/>
            <w:noWrap w:val="0"/>
            <w:vAlign w:val="center"/>
          </w:tcPr>
          <w:p w14:paraId="028FEAAA">
            <w:pPr>
              <w:pStyle w:val="61"/>
              <w:spacing w:line="240" w:lineRule="auto"/>
              <w:rPr>
                <w:rFonts w:hint="default" w:ascii="宋体" w:hAnsi="宋体" w:eastAsia="宋体" w:cs="Times New Roman"/>
                <w:color w:val="auto"/>
                <w:lang w:val="en-US" w:eastAsia="zh-CN"/>
              </w:rPr>
            </w:pPr>
            <w:r>
              <w:rPr>
                <w:rFonts w:hint="eastAsia" w:ascii="宋体" w:hAnsi="宋体" w:eastAsia="宋体" w:cs="Times New Roman"/>
                <w:color w:val="auto"/>
                <w:lang w:val="en-US" w:eastAsia="zh-CN"/>
              </w:rPr>
              <w:t>现场四周围墙</w:t>
            </w:r>
          </w:p>
        </w:tc>
      </w:tr>
      <w:tr w14:paraId="7F6B4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7E2ED098">
            <w:pPr>
              <w:pStyle w:val="61"/>
              <w:spacing w:line="240" w:lineRule="auto"/>
              <w:rPr>
                <w:rFonts w:hint="eastAsia" w:ascii="宋体" w:hAnsi="宋体" w:eastAsia="宋体" w:cs="Times New Roman"/>
                <w:color w:val="auto"/>
              </w:rPr>
            </w:pPr>
          </w:p>
        </w:tc>
        <w:tc>
          <w:tcPr>
            <w:tcW w:w="1772" w:type="dxa"/>
            <w:vMerge w:val="continue"/>
            <w:noWrap w:val="0"/>
            <w:vAlign w:val="center"/>
          </w:tcPr>
          <w:p w14:paraId="69ACD73B">
            <w:pPr>
              <w:pStyle w:val="61"/>
              <w:spacing w:line="240" w:lineRule="auto"/>
              <w:rPr>
                <w:rFonts w:hint="eastAsia" w:ascii="宋体" w:hAnsi="宋体" w:eastAsia="宋体" w:cs="Times New Roman"/>
                <w:color w:val="auto"/>
              </w:rPr>
            </w:pPr>
          </w:p>
        </w:tc>
        <w:tc>
          <w:tcPr>
            <w:tcW w:w="4323" w:type="dxa"/>
            <w:noWrap w:val="0"/>
            <w:vAlign w:val="center"/>
          </w:tcPr>
          <w:p w14:paraId="7BFF6D44">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7</w:t>
            </w:r>
            <w:r>
              <w:rPr>
                <w:rFonts w:ascii="宋体" w:hAnsi="宋体" w:eastAsia="宋体" w:cs="Times New Roman"/>
                <w:color w:val="auto"/>
              </w:rPr>
              <w:t>.10</w:t>
            </w:r>
            <w:r>
              <w:rPr>
                <w:rFonts w:hint="eastAsia" w:ascii="宋体" w:hAnsi="宋体" w:eastAsia="宋体" w:cs="Times New Roman"/>
                <w:color w:val="auto"/>
              </w:rPr>
              <w:t>混凝土楼地面一次成型技术</w:t>
            </w:r>
          </w:p>
        </w:tc>
        <w:tc>
          <w:tcPr>
            <w:tcW w:w="1610" w:type="dxa"/>
            <w:noWrap w:val="0"/>
            <w:vAlign w:val="center"/>
          </w:tcPr>
          <w:p w14:paraId="3F61E046">
            <w:pPr>
              <w:pStyle w:val="61"/>
              <w:spacing w:line="240" w:lineRule="auto"/>
              <w:rPr>
                <w:rFonts w:hint="default" w:ascii="宋体" w:hAnsi="宋体" w:eastAsia="宋体" w:cs="Times New Roman"/>
                <w:color w:val="auto"/>
                <w:lang w:val="en-US" w:eastAsia="zh-CN"/>
              </w:rPr>
            </w:pPr>
            <w:r>
              <w:rPr>
                <w:rFonts w:hint="eastAsia" w:ascii="宋体" w:hAnsi="宋体" w:eastAsia="宋体" w:cs="Times New Roman"/>
                <w:color w:val="auto"/>
                <w:lang w:val="en-US" w:eastAsia="zh-CN"/>
              </w:rPr>
              <w:t>地下室底板</w:t>
            </w:r>
          </w:p>
        </w:tc>
      </w:tr>
      <w:tr w14:paraId="13B9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4B5BFC37">
            <w:pPr>
              <w:pStyle w:val="61"/>
              <w:spacing w:line="240" w:lineRule="auto"/>
              <w:rPr>
                <w:rFonts w:hint="eastAsia" w:ascii="宋体" w:hAnsi="宋体" w:eastAsia="宋体" w:cs="Times New Roman"/>
                <w:color w:val="auto"/>
              </w:rPr>
            </w:pPr>
          </w:p>
        </w:tc>
        <w:tc>
          <w:tcPr>
            <w:tcW w:w="1772" w:type="dxa"/>
            <w:vMerge w:val="continue"/>
            <w:noWrap w:val="0"/>
            <w:vAlign w:val="center"/>
          </w:tcPr>
          <w:p w14:paraId="2EC8B5D1">
            <w:pPr>
              <w:pStyle w:val="61"/>
              <w:spacing w:line="240" w:lineRule="auto"/>
              <w:rPr>
                <w:rFonts w:hint="eastAsia" w:ascii="宋体" w:hAnsi="宋体" w:eastAsia="宋体" w:cs="Times New Roman"/>
                <w:color w:val="auto"/>
              </w:rPr>
            </w:pPr>
          </w:p>
        </w:tc>
        <w:tc>
          <w:tcPr>
            <w:tcW w:w="4323" w:type="dxa"/>
            <w:noWrap w:val="0"/>
            <w:vAlign w:val="center"/>
          </w:tcPr>
          <w:p w14:paraId="6C128774">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7</w:t>
            </w:r>
            <w:r>
              <w:rPr>
                <w:rFonts w:ascii="宋体" w:hAnsi="宋体" w:eastAsia="宋体" w:cs="Times New Roman"/>
                <w:color w:val="auto"/>
              </w:rPr>
              <w:t xml:space="preserve">.11 </w:t>
            </w:r>
            <w:r>
              <w:rPr>
                <w:rFonts w:hint="eastAsia" w:ascii="宋体" w:hAnsi="宋体" w:eastAsia="宋体" w:cs="Times New Roman"/>
                <w:color w:val="auto"/>
              </w:rPr>
              <w:t>建筑物墙体免抹灰技术</w:t>
            </w:r>
          </w:p>
        </w:tc>
        <w:tc>
          <w:tcPr>
            <w:tcW w:w="1610" w:type="dxa"/>
            <w:noWrap w:val="0"/>
            <w:vAlign w:val="center"/>
          </w:tcPr>
          <w:p w14:paraId="0116A432">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预制内隔墙</w:t>
            </w:r>
          </w:p>
        </w:tc>
      </w:tr>
      <w:tr w14:paraId="7940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restart"/>
            <w:noWrap w:val="0"/>
            <w:vAlign w:val="center"/>
          </w:tcPr>
          <w:p w14:paraId="47388816">
            <w:pPr>
              <w:pStyle w:val="61"/>
              <w:spacing w:line="240" w:lineRule="auto"/>
              <w:rPr>
                <w:rFonts w:hint="eastAsia" w:ascii="宋体" w:hAnsi="宋体" w:eastAsia="宋体" w:cs="Times New Roman"/>
                <w:color w:val="auto"/>
                <w:lang w:eastAsia="zh-CN"/>
              </w:rPr>
            </w:pPr>
            <w:r>
              <w:rPr>
                <w:rFonts w:hint="eastAsia" w:ascii="宋体" w:hAnsi="宋体" w:eastAsia="宋体" w:cs="Times New Roman"/>
                <w:color w:val="auto"/>
                <w:lang w:val="en-US" w:eastAsia="zh-CN"/>
              </w:rPr>
              <w:t>7</w:t>
            </w:r>
          </w:p>
        </w:tc>
        <w:tc>
          <w:tcPr>
            <w:tcW w:w="1772" w:type="dxa"/>
            <w:vMerge w:val="restart"/>
            <w:noWrap w:val="0"/>
            <w:vAlign w:val="center"/>
          </w:tcPr>
          <w:p w14:paraId="3ED994AC">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8防水技术与围护结构节能</w:t>
            </w:r>
          </w:p>
        </w:tc>
        <w:tc>
          <w:tcPr>
            <w:tcW w:w="4323" w:type="dxa"/>
            <w:noWrap w:val="0"/>
            <w:vAlign w:val="center"/>
          </w:tcPr>
          <w:p w14:paraId="3EB70AF7">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8</w:t>
            </w:r>
            <w:r>
              <w:rPr>
                <w:rFonts w:ascii="宋体" w:hAnsi="宋体" w:eastAsia="宋体" w:cs="Times New Roman"/>
                <w:color w:val="auto"/>
              </w:rPr>
              <w:t>.2</w:t>
            </w:r>
            <w:r>
              <w:rPr>
                <w:rFonts w:hint="eastAsia" w:ascii="宋体" w:hAnsi="宋体" w:eastAsia="宋体" w:cs="Times New Roman"/>
                <w:color w:val="auto"/>
              </w:rPr>
              <w:t>地下工程预铺返粘防水技术</w:t>
            </w:r>
          </w:p>
        </w:tc>
        <w:tc>
          <w:tcPr>
            <w:tcW w:w="1610" w:type="dxa"/>
            <w:noWrap w:val="0"/>
            <w:vAlign w:val="center"/>
          </w:tcPr>
          <w:p w14:paraId="38696FD9">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地下室底板</w:t>
            </w:r>
          </w:p>
        </w:tc>
      </w:tr>
      <w:tr w14:paraId="115D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1776AB8A">
            <w:pPr>
              <w:pStyle w:val="61"/>
              <w:spacing w:line="240" w:lineRule="auto"/>
              <w:rPr>
                <w:rFonts w:hint="eastAsia" w:ascii="宋体" w:hAnsi="宋体" w:eastAsia="宋体" w:cs="Times New Roman"/>
                <w:color w:val="auto"/>
              </w:rPr>
            </w:pPr>
          </w:p>
        </w:tc>
        <w:tc>
          <w:tcPr>
            <w:tcW w:w="1772" w:type="dxa"/>
            <w:vMerge w:val="continue"/>
            <w:noWrap w:val="0"/>
            <w:vAlign w:val="center"/>
          </w:tcPr>
          <w:p w14:paraId="269D82A8">
            <w:pPr>
              <w:pStyle w:val="61"/>
              <w:spacing w:line="240" w:lineRule="auto"/>
              <w:rPr>
                <w:rFonts w:hint="eastAsia" w:ascii="宋体" w:hAnsi="宋体" w:eastAsia="宋体" w:cs="Times New Roman"/>
                <w:color w:val="auto"/>
              </w:rPr>
            </w:pPr>
          </w:p>
        </w:tc>
        <w:tc>
          <w:tcPr>
            <w:tcW w:w="4323" w:type="dxa"/>
            <w:noWrap w:val="0"/>
            <w:vAlign w:val="center"/>
          </w:tcPr>
          <w:p w14:paraId="104C7958">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8</w:t>
            </w:r>
            <w:r>
              <w:rPr>
                <w:rFonts w:ascii="宋体" w:hAnsi="宋体" w:eastAsia="宋体" w:cs="Times New Roman"/>
                <w:color w:val="auto"/>
              </w:rPr>
              <w:t>.5</w:t>
            </w:r>
            <w:r>
              <w:rPr>
                <w:rFonts w:hint="eastAsia" w:ascii="宋体" w:hAnsi="宋体" w:eastAsia="宋体" w:cs="Times New Roman"/>
                <w:color w:val="auto"/>
              </w:rPr>
              <w:t>种植屋面防水施工技术</w:t>
            </w:r>
          </w:p>
        </w:tc>
        <w:tc>
          <w:tcPr>
            <w:tcW w:w="1610" w:type="dxa"/>
            <w:noWrap w:val="0"/>
            <w:vAlign w:val="center"/>
          </w:tcPr>
          <w:p w14:paraId="5D4E6461">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种植屋面</w:t>
            </w:r>
          </w:p>
        </w:tc>
      </w:tr>
      <w:tr w14:paraId="1A06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noWrap w:val="0"/>
            <w:vAlign w:val="center"/>
          </w:tcPr>
          <w:p w14:paraId="6026C4DE">
            <w:pPr>
              <w:pStyle w:val="61"/>
              <w:spacing w:line="240" w:lineRule="auto"/>
              <w:rPr>
                <w:rFonts w:hint="eastAsia" w:ascii="宋体" w:hAnsi="宋体" w:eastAsia="宋体" w:cs="Times New Roman"/>
                <w:color w:val="auto"/>
                <w:lang w:eastAsia="zh-CN"/>
              </w:rPr>
            </w:pPr>
            <w:r>
              <w:rPr>
                <w:rFonts w:hint="eastAsia" w:ascii="宋体" w:hAnsi="宋体" w:eastAsia="宋体" w:cs="Times New Roman"/>
                <w:color w:val="auto"/>
                <w:lang w:val="en-US" w:eastAsia="zh-CN"/>
              </w:rPr>
              <w:t>8</w:t>
            </w:r>
          </w:p>
        </w:tc>
        <w:tc>
          <w:tcPr>
            <w:tcW w:w="1772" w:type="dxa"/>
            <w:noWrap w:val="0"/>
            <w:vAlign w:val="center"/>
          </w:tcPr>
          <w:p w14:paraId="0F639349">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9抗震、加固与监测技术</w:t>
            </w:r>
          </w:p>
        </w:tc>
        <w:tc>
          <w:tcPr>
            <w:tcW w:w="4323" w:type="dxa"/>
            <w:noWrap w:val="0"/>
            <w:vAlign w:val="center"/>
          </w:tcPr>
          <w:p w14:paraId="4A7A9292">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9.6 深基坑施工监测技术</w:t>
            </w:r>
          </w:p>
        </w:tc>
        <w:tc>
          <w:tcPr>
            <w:tcW w:w="1610" w:type="dxa"/>
            <w:noWrap w:val="0"/>
            <w:vAlign w:val="center"/>
          </w:tcPr>
          <w:p w14:paraId="51A38478">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基坑监测</w:t>
            </w:r>
          </w:p>
        </w:tc>
      </w:tr>
      <w:tr w14:paraId="05F0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restart"/>
            <w:noWrap w:val="0"/>
            <w:vAlign w:val="center"/>
          </w:tcPr>
          <w:p w14:paraId="226BECDC">
            <w:pPr>
              <w:pStyle w:val="61"/>
              <w:spacing w:line="240" w:lineRule="auto"/>
              <w:rPr>
                <w:rFonts w:hint="default" w:ascii="宋体" w:hAnsi="宋体" w:eastAsia="宋体" w:cs="Times New Roman"/>
                <w:color w:val="auto"/>
                <w:lang w:val="en-US" w:eastAsia="zh-CN"/>
              </w:rPr>
            </w:pPr>
            <w:r>
              <w:rPr>
                <w:rFonts w:hint="eastAsia" w:ascii="宋体" w:hAnsi="宋体" w:eastAsia="宋体" w:cs="Times New Roman"/>
                <w:color w:val="auto"/>
                <w:lang w:val="en-US" w:eastAsia="zh-CN"/>
              </w:rPr>
              <w:t>9</w:t>
            </w:r>
          </w:p>
        </w:tc>
        <w:tc>
          <w:tcPr>
            <w:tcW w:w="1772" w:type="dxa"/>
            <w:vMerge w:val="restart"/>
            <w:noWrap w:val="0"/>
            <w:vAlign w:val="center"/>
          </w:tcPr>
          <w:p w14:paraId="27D3292D">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10信息化技术</w:t>
            </w:r>
          </w:p>
        </w:tc>
        <w:tc>
          <w:tcPr>
            <w:tcW w:w="4323" w:type="dxa"/>
            <w:noWrap w:val="0"/>
            <w:vAlign w:val="center"/>
          </w:tcPr>
          <w:p w14:paraId="6A5EFC25">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1</w:t>
            </w:r>
            <w:r>
              <w:rPr>
                <w:rFonts w:ascii="宋体" w:hAnsi="宋体" w:eastAsia="宋体" w:cs="Times New Roman"/>
                <w:color w:val="auto"/>
              </w:rPr>
              <w:t xml:space="preserve">0.1 </w:t>
            </w:r>
            <w:r>
              <w:rPr>
                <w:rFonts w:hint="eastAsia" w:ascii="宋体" w:hAnsi="宋体" w:eastAsia="宋体" w:cs="Times New Roman"/>
                <w:color w:val="auto"/>
              </w:rPr>
              <w:t>基于BIM的现场施工管理信息技术</w:t>
            </w:r>
          </w:p>
        </w:tc>
        <w:tc>
          <w:tcPr>
            <w:tcW w:w="1610" w:type="dxa"/>
            <w:noWrap w:val="0"/>
            <w:vAlign w:val="center"/>
          </w:tcPr>
          <w:p w14:paraId="70ACECD4">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BIM模型</w:t>
            </w:r>
          </w:p>
        </w:tc>
      </w:tr>
      <w:tr w14:paraId="5CFF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4AB4CFD2">
            <w:pPr>
              <w:pStyle w:val="61"/>
              <w:spacing w:line="240" w:lineRule="auto"/>
              <w:rPr>
                <w:rFonts w:ascii="宋体" w:hAnsi="宋体" w:eastAsia="宋体" w:cs="Times New Roman"/>
                <w:color w:val="auto"/>
              </w:rPr>
            </w:pPr>
          </w:p>
        </w:tc>
        <w:tc>
          <w:tcPr>
            <w:tcW w:w="1772" w:type="dxa"/>
            <w:vMerge w:val="continue"/>
            <w:noWrap w:val="0"/>
            <w:vAlign w:val="center"/>
          </w:tcPr>
          <w:p w14:paraId="58DC17C3">
            <w:pPr>
              <w:pStyle w:val="61"/>
              <w:spacing w:line="240" w:lineRule="auto"/>
              <w:rPr>
                <w:rFonts w:hint="eastAsia" w:ascii="宋体" w:hAnsi="宋体" w:eastAsia="宋体" w:cs="Times New Roman"/>
                <w:color w:val="auto"/>
              </w:rPr>
            </w:pPr>
          </w:p>
        </w:tc>
        <w:tc>
          <w:tcPr>
            <w:tcW w:w="4323" w:type="dxa"/>
            <w:noWrap w:val="0"/>
            <w:vAlign w:val="center"/>
          </w:tcPr>
          <w:p w14:paraId="6CD07693">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1</w:t>
            </w:r>
            <w:r>
              <w:rPr>
                <w:rFonts w:ascii="宋体" w:hAnsi="宋体" w:eastAsia="宋体" w:cs="Times New Roman"/>
                <w:color w:val="auto"/>
              </w:rPr>
              <w:t>0.3</w:t>
            </w:r>
            <w:r>
              <w:rPr>
                <w:rFonts w:hint="eastAsia" w:ascii="宋体" w:hAnsi="宋体" w:eastAsia="宋体" w:cs="Times New Roman"/>
                <w:color w:val="auto"/>
              </w:rPr>
              <w:t>基于云计算的电子商务采购技术</w:t>
            </w:r>
          </w:p>
        </w:tc>
        <w:tc>
          <w:tcPr>
            <w:tcW w:w="1610" w:type="dxa"/>
            <w:noWrap w:val="0"/>
            <w:vAlign w:val="center"/>
          </w:tcPr>
          <w:p w14:paraId="78EA3BB9">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工程招投标</w:t>
            </w:r>
          </w:p>
        </w:tc>
      </w:tr>
      <w:tr w14:paraId="10DD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2FE53D85">
            <w:pPr>
              <w:pStyle w:val="61"/>
              <w:spacing w:line="240" w:lineRule="auto"/>
              <w:rPr>
                <w:rFonts w:ascii="宋体" w:hAnsi="宋体" w:eastAsia="宋体" w:cs="Times New Roman"/>
                <w:color w:val="auto"/>
              </w:rPr>
            </w:pPr>
          </w:p>
        </w:tc>
        <w:tc>
          <w:tcPr>
            <w:tcW w:w="1772" w:type="dxa"/>
            <w:vMerge w:val="continue"/>
            <w:noWrap w:val="0"/>
            <w:vAlign w:val="center"/>
          </w:tcPr>
          <w:p w14:paraId="07A426D2">
            <w:pPr>
              <w:pStyle w:val="61"/>
              <w:spacing w:line="240" w:lineRule="auto"/>
              <w:rPr>
                <w:rFonts w:hint="eastAsia" w:ascii="宋体" w:hAnsi="宋体" w:eastAsia="宋体" w:cs="Times New Roman"/>
                <w:color w:val="auto"/>
              </w:rPr>
            </w:pPr>
          </w:p>
        </w:tc>
        <w:tc>
          <w:tcPr>
            <w:tcW w:w="4323" w:type="dxa"/>
            <w:noWrap w:val="0"/>
            <w:vAlign w:val="center"/>
          </w:tcPr>
          <w:p w14:paraId="41083B60">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10.5 基于移动互联网的项目动态管理信息技术</w:t>
            </w:r>
          </w:p>
        </w:tc>
        <w:tc>
          <w:tcPr>
            <w:tcW w:w="1610" w:type="dxa"/>
            <w:noWrap w:val="0"/>
            <w:vAlign w:val="center"/>
          </w:tcPr>
          <w:p w14:paraId="786DDC3F">
            <w:pPr>
              <w:pStyle w:val="61"/>
              <w:spacing w:line="240" w:lineRule="auto"/>
              <w:rPr>
                <w:rFonts w:hint="default" w:ascii="宋体" w:hAnsi="宋体" w:eastAsia="宋体" w:cs="Times New Roman"/>
                <w:color w:val="auto"/>
                <w:lang w:val="en-US" w:eastAsia="zh-CN"/>
              </w:rPr>
            </w:pPr>
            <w:r>
              <w:rPr>
                <w:rFonts w:hint="eastAsia" w:ascii="宋体" w:hAnsi="宋体" w:eastAsia="宋体" w:cs="Times New Roman"/>
                <w:color w:val="auto"/>
                <w:lang w:val="en-US" w:eastAsia="zh-CN"/>
              </w:rPr>
              <w:t>项目管理</w:t>
            </w:r>
          </w:p>
        </w:tc>
      </w:tr>
      <w:tr w14:paraId="54F7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7" w:type="dxa"/>
            <w:vMerge w:val="continue"/>
            <w:noWrap w:val="0"/>
            <w:vAlign w:val="center"/>
          </w:tcPr>
          <w:p w14:paraId="41218252">
            <w:pPr>
              <w:pStyle w:val="61"/>
              <w:spacing w:line="240" w:lineRule="auto"/>
              <w:rPr>
                <w:rFonts w:ascii="宋体" w:hAnsi="宋体" w:eastAsia="宋体" w:cs="Times New Roman"/>
                <w:color w:val="auto"/>
              </w:rPr>
            </w:pPr>
          </w:p>
        </w:tc>
        <w:tc>
          <w:tcPr>
            <w:tcW w:w="1772" w:type="dxa"/>
            <w:vMerge w:val="continue"/>
            <w:noWrap w:val="0"/>
            <w:vAlign w:val="center"/>
          </w:tcPr>
          <w:p w14:paraId="3FC98DF1">
            <w:pPr>
              <w:pStyle w:val="61"/>
              <w:spacing w:line="240" w:lineRule="auto"/>
              <w:rPr>
                <w:rFonts w:hint="eastAsia" w:ascii="宋体" w:hAnsi="宋体" w:eastAsia="宋体" w:cs="Times New Roman"/>
                <w:color w:val="auto"/>
              </w:rPr>
            </w:pPr>
          </w:p>
        </w:tc>
        <w:tc>
          <w:tcPr>
            <w:tcW w:w="4323" w:type="dxa"/>
            <w:noWrap w:val="0"/>
            <w:vAlign w:val="center"/>
          </w:tcPr>
          <w:p w14:paraId="3A76A525">
            <w:pPr>
              <w:pStyle w:val="61"/>
              <w:spacing w:line="240" w:lineRule="auto"/>
              <w:rPr>
                <w:rFonts w:hint="eastAsia" w:ascii="宋体" w:hAnsi="宋体" w:eastAsia="宋体" w:cs="Times New Roman"/>
                <w:color w:val="auto"/>
              </w:rPr>
            </w:pPr>
            <w:r>
              <w:rPr>
                <w:rFonts w:hint="eastAsia" w:ascii="宋体" w:hAnsi="宋体" w:eastAsia="宋体" w:cs="Times New Roman"/>
                <w:color w:val="auto"/>
              </w:rPr>
              <w:t>10.7 基于物联网的劳务管理信息技术</w:t>
            </w:r>
          </w:p>
        </w:tc>
        <w:tc>
          <w:tcPr>
            <w:tcW w:w="1610" w:type="dxa"/>
            <w:noWrap w:val="0"/>
            <w:vAlign w:val="center"/>
          </w:tcPr>
          <w:p w14:paraId="6A749891">
            <w:pPr>
              <w:pStyle w:val="61"/>
              <w:spacing w:line="240" w:lineRule="auto"/>
              <w:rPr>
                <w:rFonts w:hint="eastAsia" w:ascii="宋体" w:hAnsi="宋体" w:eastAsia="宋体" w:cs="Times New Roman"/>
                <w:color w:val="auto"/>
              </w:rPr>
            </w:pPr>
            <w:r>
              <w:rPr>
                <w:rFonts w:hint="eastAsia" w:ascii="宋体" w:hAnsi="宋体" w:eastAsia="宋体" w:cs="Times New Roman"/>
                <w:color w:val="auto"/>
                <w:lang w:val="en-US" w:eastAsia="zh-CN"/>
              </w:rPr>
              <w:t>项目管理</w:t>
            </w:r>
          </w:p>
        </w:tc>
      </w:tr>
    </w:tbl>
    <w:p w14:paraId="5D0B30E3">
      <w:pPr>
        <w:ind w:firstLine="480"/>
        <w:rPr>
          <w:rFonts w:hint="eastAsia"/>
        </w:rPr>
      </w:pPr>
    </w:p>
    <w:sectPr>
      <w:headerReference r:id="rId24" w:type="default"/>
      <w:pgSz w:w="11906" w:h="16838"/>
      <w:pgMar w:top="1418" w:right="1418" w:bottom="1418" w:left="1418" w:header="851" w:footer="992"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 wne:kcmPrimary="0434">
      <wne:acd wne:acdName="acd3"/>
    </wne:keymap>
    <wne:keymap wne:kcmPrimary="0442">
      <wne:acd wne:acdName="acd4"/>
    </wne:keymap>
    <wne:keymap wne:kcmPrimary="0443">
      <wne:acd wne:acdName="acd5"/>
    </wne:keymap>
    <wne:keymap wne:kcmPrimary="0446">
      <wne:acd wne:acdName="acd6"/>
    </wne:keymap>
    <wne:keymap wne:kcmPrimary="0454">
      <wne:acd wne:acdName="acd7"/>
    </wne:keymap>
    <wne:keymap wne:kcmPrimary="045A">
      <wne:acd wne:acdName="acd8"/>
    </wne:keymap>
  </wne:keymap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gBoiDxoRVwtTg==" wne:acdName="acd4" wne:fciIndexBasedOn="0065"/>
    <wne:acd wne:argValue="AgDSY/5WRVwtTg==" wne:acdName="acd5" wne:fciIndexBasedOn="0065"/>
    <wne:acd wne:argValue="AgCYmCAA6GwgACAA0mNoiA==" wne:acdName="acd6" wne:fciIndexBasedOn="0065"/>
    <wne:acd wne:argValue="AgCYmCAA6GwgACAA0mP+Vg==" wne:acdName="acd7" wne:fciIndexBasedOn="0065"/>
    <wne:acd wne:argValue="AQAAAAAA"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E0A42">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02AC7">
    <w:pPr>
      <w:framePr w:wrap="around" w:vAnchor="text" w:hAnchor="margin" w:xAlign="right" w:y="1"/>
    </w:pPr>
    <w:r>
      <w:fldChar w:fldCharType="begin"/>
    </w:r>
    <w:r>
      <w:instrText xml:space="preserve">PAGE  </w:instrText>
    </w:r>
    <w:r>
      <w:fldChar w:fldCharType="end"/>
    </w:r>
  </w:p>
  <w:p w14:paraId="72F9B854">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EADD6">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56A4">
    <w:pPr>
      <w:ind w:firstLine="0" w:firstLineChars="0"/>
      <w:jc w:val="center"/>
      <w:rPr>
        <w:rFonts w:hint="eastAsia"/>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B5B9B">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87F5C">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C0147">
    <w:pPr>
      <w:ind w:firstLine="0" w:firstLineChars="0"/>
      <w:jc w:val="center"/>
      <w:rPr>
        <w:rFonts w:hint="eastAsia"/>
        <w:sz w:val="21"/>
        <w:szCs w:val="21"/>
      </w:rPr>
    </w:pPr>
    <w:r>
      <w:rPr>
        <w:rFonts w:hint="eastAsia"/>
        <w:sz w:val="21"/>
        <w:szCs w:val="21"/>
      </w:rPr>
      <w:t>第</w:t>
    </w: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r>
      <w:rPr>
        <w:rFonts w:hint="eastAsia"/>
        <w:sz w:val="21"/>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03900">
    <w:pPr>
      <w:pStyle w:val="26"/>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BB2DE">
    <w:pPr>
      <w:pBdr>
        <w:bottom w:val="single" w:color="auto" w:sz="4" w:space="1"/>
      </w:pBdr>
      <w:spacing w:line="240" w:lineRule="auto"/>
      <w:ind w:firstLine="0" w:firstLineChars="0"/>
      <w:rPr>
        <w:rFonts w:hint="default"/>
        <w:lang w:val="en-US"/>
      </w:rPr>
    </w:pPr>
    <w:r>
      <w:rPr>
        <w:rFonts w:hint="eastAsia" w:ascii="宋体" w:hAnsi="宋体"/>
        <w:sz w:val="21"/>
      </w:rPr>
      <w:t xml:space="preserve">三亚崖州湾科教城公共教学区（一期）项目绿色建筑施工方案 </w:t>
    </w:r>
    <w:r>
      <w:rPr>
        <w:rFonts w:hint="eastAsia" w:ascii="宋体" w:hAnsi="宋体"/>
        <w:sz w:val="21"/>
        <w:lang w:val="en-US" w:eastAsia="zh-CN"/>
      </w:rPr>
      <w:t xml:space="preserve"> </w:t>
    </w:r>
    <w:r>
      <w:rPr>
        <w:rFonts w:hint="eastAsia" w:ascii="宋体" w:hAnsi="宋体"/>
        <w:sz w:val="21"/>
      </w:rPr>
      <w:t>绿色施工“四节一环保”施工措施</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41D74">
    <w:pPr>
      <w:pBdr>
        <w:bottom w:val="single" w:color="auto" w:sz="4" w:space="1"/>
      </w:pBdr>
      <w:spacing w:line="240" w:lineRule="auto"/>
      <w:ind w:firstLine="0" w:firstLineChars="0"/>
      <w:rPr>
        <w:rFonts w:hint="default"/>
        <w:lang w:val="en-US"/>
      </w:rPr>
    </w:pPr>
    <w:r>
      <w:rPr>
        <w:rFonts w:hint="eastAsia" w:ascii="宋体" w:hAnsi="宋体"/>
        <w:sz w:val="21"/>
      </w:rPr>
      <w:t xml:space="preserve">三亚崖州湾科教城公共教学区（一期）项目绿色建筑施工方案 </w:t>
    </w:r>
    <w:r>
      <w:rPr>
        <w:rFonts w:hint="eastAsia"/>
        <w:sz w:val="21"/>
      </w:rPr>
      <w:t>人力资源节约与职业健康安全措施</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0D404">
    <w:pPr>
      <w:pBdr>
        <w:bottom w:val="single" w:color="auto" w:sz="4" w:space="1"/>
      </w:pBdr>
      <w:spacing w:line="240" w:lineRule="auto"/>
      <w:ind w:firstLine="0" w:firstLineChars="0"/>
      <w:jc w:val="both"/>
      <w:rPr>
        <w:rFonts w:hint="default"/>
        <w:sz w:val="21"/>
        <w:lang w:val="en-US"/>
      </w:rPr>
    </w:pPr>
    <w:r>
      <w:rPr>
        <w:rFonts w:hint="eastAsia" w:ascii="宋体" w:hAnsi="宋体"/>
        <w:sz w:val="21"/>
      </w:rPr>
      <w:t>三亚崖州湾科教城共教学区（一期）项目绿色建筑施工方案</w:t>
    </w:r>
    <w:r>
      <w:rPr>
        <w:sz w:val="21"/>
      </w:rPr>
      <w:t xml:space="preserve">            </w:t>
    </w:r>
    <w:r>
      <w:rPr>
        <w:rFonts w:hint="eastAsia"/>
        <w:sz w:val="21"/>
        <w:lang w:val="en-US" w:eastAsia="zh-CN"/>
      </w:rPr>
      <w:t xml:space="preserve">  </w:t>
    </w:r>
    <w:r>
      <w:rPr>
        <w:sz w:val="21"/>
      </w:rPr>
      <w:t xml:space="preserve"> </w:t>
    </w:r>
    <w:r>
      <w:rPr>
        <w:rFonts w:hint="eastAsia"/>
        <w:sz w:val="21"/>
        <w:lang w:val="en-US" w:eastAsia="zh-CN"/>
      </w:rPr>
      <w:t>绿色建筑评价</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5141B">
    <w:pPr>
      <w:pBdr>
        <w:bottom w:val="single" w:color="auto" w:sz="4" w:space="1"/>
      </w:pBdr>
      <w:spacing w:line="240" w:lineRule="auto"/>
      <w:ind w:firstLine="0" w:firstLineChars="0"/>
      <w:jc w:val="both"/>
      <w:rPr>
        <w:rFonts w:hint="eastAsia"/>
        <w:sz w:val="21"/>
      </w:rPr>
    </w:pPr>
    <w:r>
      <w:rPr>
        <w:rFonts w:hint="eastAsia" w:ascii="宋体" w:hAnsi="宋体"/>
        <w:sz w:val="21"/>
      </w:rPr>
      <w:t>三亚崖州湾科教城共教学区（一期）项目绿色建筑施工方案</w:t>
    </w:r>
    <w:r>
      <w:rPr>
        <w:sz w:val="21"/>
      </w:rPr>
      <w:t xml:space="preserve">            </w:t>
    </w:r>
    <w:r>
      <w:rPr>
        <w:rFonts w:hint="eastAsia"/>
        <w:sz w:val="21"/>
        <w:lang w:val="en-US" w:eastAsia="zh-CN"/>
      </w:rPr>
      <w:t xml:space="preserve">  </w:t>
    </w:r>
    <w:r>
      <w:rPr>
        <w:sz w:val="21"/>
      </w:rPr>
      <w:t xml:space="preserve"> </w:t>
    </w:r>
    <w:r>
      <w:rPr>
        <w:rFonts w:hint="eastAsia"/>
        <w:sz w:val="21"/>
        <w:lang w:val="en-US" w:eastAsia="zh-CN"/>
      </w:rPr>
      <w:t>技术创新与应用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F084C">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B29E3">
    <w:pPr>
      <w:pStyle w:val="2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7104">
    <w:pPr>
      <w:ind w:firstLine="0" w:firstLineChars="0"/>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DAB66">
    <w:pPr>
      <w:pStyle w:val="2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A7B90">
    <w:pPr>
      <w:pStyle w:val="2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9D65D">
    <w:pPr>
      <w:pBdr>
        <w:bottom w:val="single" w:color="auto" w:sz="4" w:space="1"/>
      </w:pBdr>
      <w:spacing w:line="240" w:lineRule="auto"/>
      <w:ind w:firstLine="0" w:firstLineChars="0"/>
      <w:rPr>
        <w:rFonts w:hint="eastAsia" w:ascii="宋体" w:hAnsi="宋体"/>
        <w:sz w:val="21"/>
      </w:rPr>
    </w:pPr>
    <w:r>
      <w:rPr>
        <w:rFonts w:hint="eastAsia" w:ascii="宋体" w:hAnsi="宋体"/>
        <w:sz w:val="21"/>
      </w:rPr>
      <w:t xml:space="preserve">三亚崖州湾科教城公共教学区（一期）项目绿色建筑施工方案  </w:t>
    </w:r>
    <w:r>
      <w:rPr>
        <w:rFonts w:ascii="宋体" w:hAnsi="宋体"/>
        <w:sz w:val="21"/>
      </w:rPr>
      <w:t xml:space="preserve">                       </w:t>
    </w:r>
    <w:r>
      <w:rPr>
        <w:rFonts w:hint="eastAsia" w:ascii="宋体" w:hAnsi="宋体"/>
        <w:sz w:val="21"/>
      </w:rPr>
      <w:t>编制说明</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E6494">
    <w:pPr>
      <w:pStyle w:val="26"/>
      <w:jc w:val="left"/>
      <w:rPr>
        <w:rFonts w:hint="eastAsia"/>
      </w:rPr>
    </w:pPr>
    <w:r>
      <w:rPr>
        <w:rFonts w:hint="eastAsia"/>
      </w:rPr>
      <w:t xml:space="preserve">三亚崖州湾科教城公共教学区（一期）项目绿色建筑施工方案 </w:t>
    </w:r>
    <w:r>
      <w:t xml:space="preserve">       </w:t>
    </w:r>
    <w:r>
      <w:rPr>
        <w:rFonts w:hint="eastAsia"/>
      </w:rPr>
      <w:t xml:space="preserve">  </w:t>
    </w:r>
    <w:r>
      <w:t xml:space="preserve">              </w:t>
    </w:r>
    <w:r>
      <w:rPr>
        <w:rFonts w:hint="eastAsia"/>
      </w:rPr>
      <w:t>工程概况</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14CE1">
    <w:pPr>
      <w:pBdr>
        <w:bottom w:val="single" w:color="auto" w:sz="4" w:space="1"/>
      </w:pBdr>
      <w:spacing w:line="240" w:lineRule="auto"/>
      <w:ind w:firstLine="0" w:firstLineChars="0"/>
      <w:rPr>
        <w:rFonts w:hint="eastAsia" w:eastAsia="宋体"/>
        <w:lang w:val="en-US" w:eastAsia="zh-CN"/>
      </w:rPr>
    </w:pPr>
    <w:r>
      <w:rPr>
        <w:rFonts w:hint="eastAsia" w:ascii="宋体" w:hAnsi="宋体"/>
        <w:sz w:val="21"/>
      </w:rPr>
      <w:t>三亚崖州湾科教城公共教学区（一期）项目绿色建筑施工方案</w:t>
    </w:r>
    <w:r>
      <w:rPr>
        <w:rFonts w:hint="eastAsia" w:ascii="宋体" w:hAnsi="宋体"/>
        <w:sz w:val="21"/>
        <w:lang w:val="en-US" w:eastAsia="zh-CN"/>
      </w:rPr>
      <w:t xml:space="preserve">                   </w:t>
    </w:r>
    <w:r>
      <w:rPr>
        <w:rFonts w:hint="eastAsia" w:ascii="宋体" w:hAnsi="宋体"/>
        <w:sz w:val="21"/>
      </w:rPr>
      <w:t>绿色施工</w:t>
    </w:r>
    <w:r>
      <w:rPr>
        <w:rFonts w:hint="eastAsia" w:ascii="宋体" w:hAnsi="宋体"/>
        <w:sz w:val="21"/>
        <w:lang w:val="en-US" w:eastAsia="zh-CN"/>
      </w:rPr>
      <w:t>管理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68338F"/>
    <w:multiLevelType w:val="singleLevel"/>
    <w:tmpl w:val="DD68338F"/>
    <w:lvl w:ilvl="0" w:tentative="0">
      <w:start w:val="1"/>
      <w:numFmt w:val="decimal"/>
      <w:suff w:val="nothing"/>
      <w:lvlText w:val="%1）"/>
      <w:lvlJc w:val="left"/>
    </w:lvl>
  </w:abstractNum>
  <w:abstractNum w:abstractNumId="1">
    <w:nsid w:val="0DB22A5D"/>
    <w:multiLevelType w:val="multilevel"/>
    <w:tmpl w:val="0DB22A5D"/>
    <w:lvl w:ilvl="0" w:tentative="0">
      <w:start w:val="1"/>
      <w:numFmt w:val="decimal"/>
      <w:pStyle w:val="3"/>
      <w:suff w:val="nothing"/>
      <w:lvlText w:val="第%1章  "/>
      <w:lvlJc w:val="center"/>
      <w:pPr>
        <w:ind w:left="0" w:firstLine="0"/>
      </w:pPr>
      <w:rPr>
        <w:rFonts w:hint="default" w:ascii="Arial" w:hAnsi="Arial" w:eastAsia="宋体"/>
        <w:b/>
        <w:i w:val="0"/>
        <w:color w:val="auto"/>
        <w:kern w:val="2"/>
        <w:sz w:val="28"/>
      </w:rPr>
    </w:lvl>
    <w:lvl w:ilvl="1" w:tentative="0">
      <w:start w:val="1"/>
      <w:numFmt w:val="decimal"/>
      <w:pStyle w:val="4"/>
      <w:suff w:val="nothing"/>
      <w:lvlText w:val="%1.%2 "/>
      <w:lvlJc w:val="left"/>
      <w:pPr>
        <w:ind w:left="2126" w:firstLine="0"/>
      </w:pPr>
      <w:rPr>
        <w:rFonts w:hint="default" w:ascii="宋体" w:hAnsi="宋体" w:eastAsia="宋体"/>
        <w:b/>
        <w:i w:val="0"/>
        <w:color w:val="auto"/>
        <w:sz w:val="24"/>
        <w:szCs w:val="24"/>
      </w:rPr>
    </w:lvl>
    <w:lvl w:ilvl="2" w:tentative="0">
      <w:start w:val="1"/>
      <w:numFmt w:val="decimal"/>
      <w:pStyle w:val="7"/>
      <w:isLgl/>
      <w:suff w:val="nothing"/>
      <w:lvlText w:val="%1.%2.%3 "/>
      <w:lvlJc w:val="left"/>
      <w:pPr>
        <w:ind w:left="0" w:firstLine="0"/>
      </w:pPr>
      <w:rPr>
        <w:rFonts w:ascii="宋体" w:hAnsi="宋体" w:eastAsia="宋体"/>
        <w:b w:val="0"/>
        <w:bCs w:val="0"/>
      </w:rPr>
    </w:lvl>
    <w:lvl w:ilvl="3" w:tentative="0">
      <w:start w:val="1"/>
      <w:numFmt w:val="decimal"/>
      <w:pStyle w:val="8"/>
      <w:suff w:val="nothing"/>
      <w:lvlText w:val="%1.%2.%3.%4 "/>
      <w:lvlJc w:val="left"/>
      <w:pPr>
        <w:ind w:left="4111" w:firstLine="0"/>
      </w:pPr>
    </w:lvl>
    <w:lvl w:ilvl="4" w:tentative="0">
      <w:start w:val="1"/>
      <w:numFmt w:val="lowerLetter"/>
      <w:lvlText w:val="%5)"/>
      <w:lvlJc w:val="left"/>
      <w:pPr>
        <w:ind w:left="845" w:hanging="420"/>
      </w:pPr>
      <w:rPr>
        <w:rFonts w:hint="eastAsia" w:ascii="宋体" w:hAnsi="宋体" w:eastAsia="宋体"/>
      </w:rPr>
    </w:lvl>
    <w:lvl w:ilvl="5" w:tentative="0">
      <w:start w:val="1"/>
      <w:numFmt w:val="lowerRoman"/>
      <w:lvlText w:val="%6."/>
      <w:lvlJc w:val="right"/>
      <w:pPr>
        <w:ind w:left="3513" w:hanging="420"/>
      </w:pPr>
      <w:rPr>
        <w:rFonts w:hint="eastAsia"/>
      </w:rPr>
    </w:lvl>
    <w:lvl w:ilvl="6" w:tentative="0">
      <w:start w:val="1"/>
      <w:numFmt w:val="decimal"/>
      <w:lvlText w:val="%7."/>
      <w:lvlJc w:val="left"/>
      <w:pPr>
        <w:ind w:left="3933" w:hanging="420"/>
      </w:pPr>
      <w:rPr>
        <w:rFonts w:hint="eastAsia"/>
      </w:rPr>
    </w:lvl>
    <w:lvl w:ilvl="7" w:tentative="0">
      <w:start w:val="1"/>
      <w:numFmt w:val="none"/>
      <w:pStyle w:val="65"/>
      <w:suff w:val="space"/>
      <w:lvlText w:val="插表"/>
      <w:lvlJc w:val="center"/>
      <w:pPr>
        <w:ind w:left="0" w:firstLine="0"/>
      </w:pPr>
      <w:rPr>
        <w:rFonts w:hint="eastAsia"/>
        <w:b/>
        <w:i w:val="0"/>
        <w:color w:val="auto"/>
        <w:sz w:val="24"/>
      </w:rPr>
    </w:lvl>
    <w:lvl w:ilvl="8" w:tentative="0">
      <w:start w:val="1"/>
      <w:numFmt w:val="none"/>
      <w:pStyle w:val="63"/>
      <w:suff w:val="space"/>
      <w:lvlText w:val="插图"/>
      <w:lvlJc w:val="center"/>
      <w:pPr>
        <w:ind w:left="0" w:firstLine="0"/>
      </w:pPr>
      <w:rPr>
        <w:rFonts w:hint="eastAsia"/>
        <w:b/>
        <w:i w:val="0"/>
        <w:color w:val="auto"/>
        <w:sz w:val="24"/>
      </w:rPr>
    </w:lvl>
  </w:abstractNum>
  <w:abstractNum w:abstractNumId="2">
    <w:nsid w:val="1C20225D"/>
    <w:multiLevelType w:val="multilevel"/>
    <w:tmpl w:val="1C20225D"/>
    <w:lvl w:ilvl="0" w:tentative="0">
      <w:start w:val="1"/>
      <w:numFmt w:val="decimal"/>
      <w:suff w:val="space"/>
      <w:lvlText w:val="第%1部分"/>
      <w:lvlJc w:val="center"/>
      <w:pPr>
        <w:ind w:left="0" w:firstLine="0"/>
      </w:pPr>
      <w:rPr>
        <w:rFonts w:hint="default" w:ascii="Times New Roman" w:hAnsi="Times New Roman" w:eastAsia="宋体"/>
        <w:b/>
        <w:i w:val="0"/>
        <w:color w:val="FF0000"/>
        <w:kern w:val="2"/>
        <w:sz w:val="30"/>
      </w:rPr>
    </w:lvl>
    <w:lvl w:ilvl="1" w:tentative="0">
      <w:start w:val="1"/>
      <w:numFmt w:val="decimal"/>
      <w:suff w:val="space"/>
      <w:lvlText w:val="第%2章"/>
      <w:lvlJc w:val="center"/>
      <w:pPr>
        <w:ind w:left="0" w:firstLine="0"/>
      </w:pPr>
      <w:rPr>
        <w:rFonts w:hint="default" w:ascii="Times New Roman" w:hAnsi="Times New Roman" w:eastAsia="宋体"/>
        <w:b/>
        <w:i w:val="0"/>
        <w:color w:val="0033CC"/>
        <w:sz w:val="28"/>
      </w:rPr>
    </w:lvl>
    <w:lvl w:ilvl="2" w:tentative="0">
      <w:start w:val="1"/>
      <w:numFmt w:val="decimal"/>
      <w:suff w:val="space"/>
      <w:lvlText w:val="%2.%3"/>
      <w:lvlJc w:val="left"/>
      <w:pPr>
        <w:ind w:left="0" w:firstLine="0"/>
      </w:pPr>
      <w:rPr>
        <w:rFonts w:hint="default" w:ascii="Times New Roman" w:hAnsi="Times New Roman" w:eastAsia="宋体"/>
        <w:b/>
        <w:i w:val="0"/>
        <w:color w:val="auto"/>
        <w:sz w:val="24"/>
      </w:rPr>
    </w:lvl>
    <w:lvl w:ilvl="3" w:tentative="0">
      <w:start w:val="1"/>
      <w:numFmt w:val="decimal"/>
      <w:suff w:val="space"/>
      <w:lvlText w:val="%2.%3.%4"/>
      <w:lvlJc w:val="left"/>
      <w:pPr>
        <w:ind w:left="0" w:firstLine="0"/>
      </w:pPr>
      <w:rPr>
        <w:rFonts w:hint="default" w:ascii="Times New Roman" w:hAnsi="Times New Roman" w:eastAsia="宋体"/>
        <w:b/>
        <w:i w:val="0"/>
        <w:color w:val="auto"/>
        <w:sz w:val="24"/>
      </w:rPr>
    </w:lvl>
    <w:lvl w:ilvl="4" w:tentative="0">
      <w:start w:val="1"/>
      <w:numFmt w:val="decimal"/>
      <w:suff w:val="space"/>
      <w:lvlText w:val="%2.%3.%4.%5"/>
      <w:lvlJc w:val="left"/>
      <w:pPr>
        <w:ind w:left="0" w:firstLine="0"/>
      </w:pPr>
      <w:rPr>
        <w:rFonts w:hint="default" w:ascii="Times" w:hAnsi="Times" w:eastAsia="宋体"/>
        <w:b/>
        <w:i w:val="0"/>
        <w:sz w:val="24"/>
      </w:rPr>
    </w:lvl>
    <w:lvl w:ilvl="5" w:tentative="0">
      <w:start w:val="1"/>
      <w:numFmt w:val="decimal"/>
      <w:suff w:val="nothing"/>
      <w:lvlText w:val="%2.%3.%4.%5.%6 "/>
      <w:lvlJc w:val="left"/>
      <w:pPr>
        <w:ind w:left="0" w:firstLine="0"/>
      </w:pPr>
      <w:rPr>
        <w:rFonts w:hint="default" w:ascii="Times New Roman" w:hAnsi="Times New Roman" w:eastAsia="宋体"/>
        <w:b/>
        <w:i w:val="0"/>
        <w:sz w:val="24"/>
      </w:rPr>
    </w:lvl>
    <w:lvl w:ilvl="6" w:tentative="0">
      <w:start w:val="1"/>
      <w:numFmt w:val="none"/>
      <w:lvlText w:val=""/>
      <w:lvlJc w:val="left"/>
      <w:pPr>
        <w:ind w:left="3933" w:hanging="420"/>
      </w:pPr>
      <w:rPr>
        <w:rFonts w:hint="eastAsia"/>
      </w:rPr>
    </w:lvl>
    <w:lvl w:ilvl="7" w:tentative="0">
      <w:start w:val="1"/>
      <w:numFmt w:val="none"/>
      <w:pStyle w:val="83"/>
      <w:suff w:val="space"/>
      <w:lvlText w:val="插表"/>
      <w:lvlJc w:val="center"/>
      <w:pPr>
        <w:ind w:left="0" w:firstLine="0"/>
      </w:pPr>
      <w:rPr>
        <w:rFonts w:hint="eastAsia"/>
        <w:b/>
        <w:i w:val="0"/>
        <w:color w:val="auto"/>
        <w:sz w:val="30"/>
        <w:szCs w:val="30"/>
      </w:rPr>
    </w:lvl>
    <w:lvl w:ilvl="8" w:tentative="0">
      <w:start w:val="1"/>
      <w:numFmt w:val="none"/>
      <w:suff w:val="space"/>
      <w:lvlText w:val="插图"/>
      <w:lvlJc w:val="center"/>
      <w:pPr>
        <w:ind w:left="0" w:firstLine="0"/>
      </w:pPr>
      <w:rPr>
        <w:rFonts w:hint="eastAsia"/>
        <w:b/>
        <w:i w:val="0"/>
        <w:color w:val="auto"/>
        <w:sz w:val="28"/>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ong cai">
    <w15:presenceInfo w15:providerId="None" w15:userId="yong ca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hyphenationZone w:val="360"/>
  <w:drawingGridHorizontalSpacing w:val="120"/>
  <w:drawingGridVerticalSpacing w:val="163"/>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D59"/>
    <w:rsid w:val="0001417E"/>
    <w:rsid w:val="00023A49"/>
    <w:rsid w:val="00025A42"/>
    <w:rsid w:val="00026215"/>
    <w:rsid w:val="00031E11"/>
    <w:rsid w:val="00050FCF"/>
    <w:rsid w:val="00052E7C"/>
    <w:rsid w:val="00053131"/>
    <w:rsid w:val="00054250"/>
    <w:rsid w:val="00065FB4"/>
    <w:rsid w:val="00072818"/>
    <w:rsid w:val="00077B14"/>
    <w:rsid w:val="0008158F"/>
    <w:rsid w:val="0008301D"/>
    <w:rsid w:val="000844D9"/>
    <w:rsid w:val="00084D59"/>
    <w:rsid w:val="000852AF"/>
    <w:rsid w:val="00092141"/>
    <w:rsid w:val="000926A4"/>
    <w:rsid w:val="00092BD5"/>
    <w:rsid w:val="00093695"/>
    <w:rsid w:val="000A01C7"/>
    <w:rsid w:val="000A13CE"/>
    <w:rsid w:val="000B5870"/>
    <w:rsid w:val="000B7D8C"/>
    <w:rsid w:val="000C26D7"/>
    <w:rsid w:val="000C3470"/>
    <w:rsid w:val="000C3AFA"/>
    <w:rsid w:val="000C44AF"/>
    <w:rsid w:val="000C533B"/>
    <w:rsid w:val="000C60FF"/>
    <w:rsid w:val="000C65A5"/>
    <w:rsid w:val="000C66FF"/>
    <w:rsid w:val="000D0941"/>
    <w:rsid w:val="000D53D1"/>
    <w:rsid w:val="000D6F57"/>
    <w:rsid w:val="000D798A"/>
    <w:rsid w:val="000E1D90"/>
    <w:rsid w:val="000E7DB6"/>
    <w:rsid w:val="000F78C3"/>
    <w:rsid w:val="000F79DA"/>
    <w:rsid w:val="000F7D61"/>
    <w:rsid w:val="00100AA3"/>
    <w:rsid w:val="00100B8F"/>
    <w:rsid w:val="00104717"/>
    <w:rsid w:val="001158C4"/>
    <w:rsid w:val="00124522"/>
    <w:rsid w:val="001316E6"/>
    <w:rsid w:val="00135580"/>
    <w:rsid w:val="0013674B"/>
    <w:rsid w:val="001435C7"/>
    <w:rsid w:val="0014793D"/>
    <w:rsid w:val="00151094"/>
    <w:rsid w:val="001513A2"/>
    <w:rsid w:val="001520C5"/>
    <w:rsid w:val="001552DC"/>
    <w:rsid w:val="00161072"/>
    <w:rsid w:val="00164C18"/>
    <w:rsid w:val="00174377"/>
    <w:rsid w:val="001750F1"/>
    <w:rsid w:val="00177CD7"/>
    <w:rsid w:val="00181512"/>
    <w:rsid w:val="001816DC"/>
    <w:rsid w:val="00183100"/>
    <w:rsid w:val="001854F1"/>
    <w:rsid w:val="00187438"/>
    <w:rsid w:val="00190F3B"/>
    <w:rsid w:val="001919EE"/>
    <w:rsid w:val="0019213A"/>
    <w:rsid w:val="001A0864"/>
    <w:rsid w:val="001B2BC5"/>
    <w:rsid w:val="001B7356"/>
    <w:rsid w:val="001B7804"/>
    <w:rsid w:val="001C077F"/>
    <w:rsid w:val="001C0DAD"/>
    <w:rsid w:val="001C4C75"/>
    <w:rsid w:val="001C5936"/>
    <w:rsid w:val="001C7B3B"/>
    <w:rsid w:val="001D6337"/>
    <w:rsid w:val="001D6F07"/>
    <w:rsid w:val="001E077A"/>
    <w:rsid w:val="001E22E8"/>
    <w:rsid w:val="001E3F98"/>
    <w:rsid w:val="001E4526"/>
    <w:rsid w:val="001F193C"/>
    <w:rsid w:val="001F2161"/>
    <w:rsid w:val="001F224D"/>
    <w:rsid w:val="001F296C"/>
    <w:rsid w:val="001F41D4"/>
    <w:rsid w:val="001F47E7"/>
    <w:rsid w:val="001F49F5"/>
    <w:rsid w:val="0020089E"/>
    <w:rsid w:val="00200C11"/>
    <w:rsid w:val="00202B14"/>
    <w:rsid w:val="00204773"/>
    <w:rsid w:val="00206EA2"/>
    <w:rsid w:val="0020735E"/>
    <w:rsid w:val="00207A7E"/>
    <w:rsid w:val="002115D1"/>
    <w:rsid w:val="00215A3E"/>
    <w:rsid w:val="00215D23"/>
    <w:rsid w:val="00216D0B"/>
    <w:rsid w:val="002251C9"/>
    <w:rsid w:val="0022520C"/>
    <w:rsid w:val="0022561D"/>
    <w:rsid w:val="00225951"/>
    <w:rsid w:val="00226791"/>
    <w:rsid w:val="00227F58"/>
    <w:rsid w:val="00234D9B"/>
    <w:rsid w:val="00237FF1"/>
    <w:rsid w:val="00240B0D"/>
    <w:rsid w:val="00241FB5"/>
    <w:rsid w:val="00245138"/>
    <w:rsid w:val="00246B25"/>
    <w:rsid w:val="00250092"/>
    <w:rsid w:val="00250499"/>
    <w:rsid w:val="00253DD3"/>
    <w:rsid w:val="00255D4C"/>
    <w:rsid w:val="00255F3B"/>
    <w:rsid w:val="00262FBC"/>
    <w:rsid w:val="00263129"/>
    <w:rsid w:val="0026603E"/>
    <w:rsid w:val="00272D46"/>
    <w:rsid w:val="002805C2"/>
    <w:rsid w:val="00280A31"/>
    <w:rsid w:val="00283AB7"/>
    <w:rsid w:val="00284052"/>
    <w:rsid w:val="00286F1E"/>
    <w:rsid w:val="00291333"/>
    <w:rsid w:val="00291980"/>
    <w:rsid w:val="0029232D"/>
    <w:rsid w:val="00294C3F"/>
    <w:rsid w:val="00294E73"/>
    <w:rsid w:val="002A25E9"/>
    <w:rsid w:val="002A5084"/>
    <w:rsid w:val="002A634D"/>
    <w:rsid w:val="002B0572"/>
    <w:rsid w:val="002B1EF5"/>
    <w:rsid w:val="002B222D"/>
    <w:rsid w:val="002C013F"/>
    <w:rsid w:val="002C0FAC"/>
    <w:rsid w:val="002C18D5"/>
    <w:rsid w:val="002C5D03"/>
    <w:rsid w:val="002C62DC"/>
    <w:rsid w:val="002C7986"/>
    <w:rsid w:val="002C7D18"/>
    <w:rsid w:val="002D1BD6"/>
    <w:rsid w:val="002D77B9"/>
    <w:rsid w:val="002E218B"/>
    <w:rsid w:val="002E436C"/>
    <w:rsid w:val="00302819"/>
    <w:rsid w:val="00303CBD"/>
    <w:rsid w:val="003044C8"/>
    <w:rsid w:val="00304616"/>
    <w:rsid w:val="00305DC4"/>
    <w:rsid w:val="00310693"/>
    <w:rsid w:val="003168DE"/>
    <w:rsid w:val="00322881"/>
    <w:rsid w:val="00324D35"/>
    <w:rsid w:val="00326237"/>
    <w:rsid w:val="00327A3B"/>
    <w:rsid w:val="00333BFF"/>
    <w:rsid w:val="003355C6"/>
    <w:rsid w:val="003425DC"/>
    <w:rsid w:val="003427EF"/>
    <w:rsid w:val="003530EA"/>
    <w:rsid w:val="0036627B"/>
    <w:rsid w:val="003668AF"/>
    <w:rsid w:val="00371892"/>
    <w:rsid w:val="003737DD"/>
    <w:rsid w:val="00381559"/>
    <w:rsid w:val="0038416E"/>
    <w:rsid w:val="003857F5"/>
    <w:rsid w:val="00386F8F"/>
    <w:rsid w:val="003909F1"/>
    <w:rsid w:val="00392AF8"/>
    <w:rsid w:val="00395E0A"/>
    <w:rsid w:val="003A3B4E"/>
    <w:rsid w:val="003A6E49"/>
    <w:rsid w:val="003B290C"/>
    <w:rsid w:val="003B4615"/>
    <w:rsid w:val="003B6AB0"/>
    <w:rsid w:val="003C0C4E"/>
    <w:rsid w:val="003C1464"/>
    <w:rsid w:val="003C26E1"/>
    <w:rsid w:val="003C628F"/>
    <w:rsid w:val="003D1BE2"/>
    <w:rsid w:val="003D24A1"/>
    <w:rsid w:val="003D49EA"/>
    <w:rsid w:val="003D4E52"/>
    <w:rsid w:val="003D6228"/>
    <w:rsid w:val="003D6D78"/>
    <w:rsid w:val="003E0B85"/>
    <w:rsid w:val="003F14F3"/>
    <w:rsid w:val="003F46E3"/>
    <w:rsid w:val="003F68BD"/>
    <w:rsid w:val="00403A94"/>
    <w:rsid w:val="00406218"/>
    <w:rsid w:val="0041001F"/>
    <w:rsid w:val="00413A64"/>
    <w:rsid w:val="004141B8"/>
    <w:rsid w:val="004209B6"/>
    <w:rsid w:val="0042268A"/>
    <w:rsid w:val="00422A6A"/>
    <w:rsid w:val="00423D89"/>
    <w:rsid w:val="00424903"/>
    <w:rsid w:val="00430522"/>
    <w:rsid w:val="0043334F"/>
    <w:rsid w:val="00434C87"/>
    <w:rsid w:val="0043510A"/>
    <w:rsid w:val="004358B1"/>
    <w:rsid w:val="00436EAB"/>
    <w:rsid w:val="004413F7"/>
    <w:rsid w:val="004453E6"/>
    <w:rsid w:val="004513E7"/>
    <w:rsid w:val="00456E89"/>
    <w:rsid w:val="004572AC"/>
    <w:rsid w:val="00467E09"/>
    <w:rsid w:val="004704FC"/>
    <w:rsid w:val="00473DD8"/>
    <w:rsid w:val="00474D28"/>
    <w:rsid w:val="00475708"/>
    <w:rsid w:val="00475F10"/>
    <w:rsid w:val="00477E66"/>
    <w:rsid w:val="00482C33"/>
    <w:rsid w:val="00493562"/>
    <w:rsid w:val="0049393F"/>
    <w:rsid w:val="0049461F"/>
    <w:rsid w:val="004A4B30"/>
    <w:rsid w:val="004B09DC"/>
    <w:rsid w:val="004B15F1"/>
    <w:rsid w:val="004B2908"/>
    <w:rsid w:val="004B2EF4"/>
    <w:rsid w:val="004B2FF7"/>
    <w:rsid w:val="004B30E8"/>
    <w:rsid w:val="004B5A13"/>
    <w:rsid w:val="004C0800"/>
    <w:rsid w:val="004C2520"/>
    <w:rsid w:val="004C3D4D"/>
    <w:rsid w:val="004C4CC3"/>
    <w:rsid w:val="004C511F"/>
    <w:rsid w:val="004C5F34"/>
    <w:rsid w:val="004C60EE"/>
    <w:rsid w:val="004D10D5"/>
    <w:rsid w:val="004D1C87"/>
    <w:rsid w:val="004D7136"/>
    <w:rsid w:val="004D7798"/>
    <w:rsid w:val="004E104A"/>
    <w:rsid w:val="004E2117"/>
    <w:rsid w:val="004E4AA7"/>
    <w:rsid w:val="004E58D6"/>
    <w:rsid w:val="005076C6"/>
    <w:rsid w:val="00511A8A"/>
    <w:rsid w:val="00511BC8"/>
    <w:rsid w:val="0051200E"/>
    <w:rsid w:val="00517370"/>
    <w:rsid w:val="0053425E"/>
    <w:rsid w:val="005345F6"/>
    <w:rsid w:val="0053600A"/>
    <w:rsid w:val="005360D9"/>
    <w:rsid w:val="00546C46"/>
    <w:rsid w:val="00550D23"/>
    <w:rsid w:val="00551067"/>
    <w:rsid w:val="00551FDF"/>
    <w:rsid w:val="0055336F"/>
    <w:rsid w:val="0058081B"/>
    <w:rsid w:val="005831DF"/>
    <w:rsid w:val="00584667"/>
    <w:rsid w:val="00585CED"/>
    <w:rsid w:val="005861B8"/>
    <w:rsid w:val="0058731C"/>
    <w:rsid w:val="005878D5"/>
    <w:rsid w:val="00592250"/>
    <w:rsid w:val="00592356"/>
    <w:rsid w:val="005946F8"/>
    <w:rsid w:val="005A22C4"/>
    <w:rsid w:val="005B36AF"/>
    <w:rsid w:val="005B43F3"/>
    <w:rsid w:val="005B6523"/>
    <w:rsid w:val="005B70C1"/>
    <w:rsid w:val="005C0308"/>
    <w:rsid w:val="005D162B"/>
    <w:rsid w:val="005D300F"/>
    <w:rsid w:val="005D6374"/>
    <w:rsid w:val="005D79B7"/>
    <w:rsid w:val="005E09BE"/>
    <w:rsid w:val="005E3C00"/>
    <w:rsid w:val="005E4A65"/>
    <w:rsid w:val="005E527E"/>
    <w:rsid w:val="005E5E68"/>
    <w:rsid w:val="005E68D3"/>
    <w:rsid w:val="005E7C0B"/>
    <w:rsid w:val="005F578C"/>
    <w:rsid w:val="005F5844"/>
    <w:rsid w:val="005F7B08"/>
    <w:rsid w:val="00603978"/>
    <w:rsid w:val="006041D2"/>
    <w:rsid w:val="00610A3E"/>
    <w:rsid w:val="0061174A"/>
    <w:rsid w:val="00614C4C"/>
    <w:rsid w:val="00615505"/>
    <w:rsid w:val="006226DA"/>
    <w:rsid w:val="006233AA"/>
    <w:rsid w:val="00626D94"/>
    <w:rsid w:val="00630444"/>
    <w:rsid w:val="0063066E"/>
    <w:rsid w:val="006332A2"/>
    <w:rsid w:val="00637014"/>
    <w:rsid w:val="006424C8"/>
    <w:rsid w:val="00643EE1"/>
    <w:rsid w:val="0064585C"/>
    <w:rsid w:val="00645ACF"/>
    <w:rsid w:val="00647704"/>
    <w:rsid w:val="00650E3C"/>
    <w:rsid w:val="006603E5"/>
    <w:rsid w:val="006614CB"/>
    <w:rsid w:val="0066187F"/>
    <w:rsid w:val="00663C82"/>
    <w:rsid w:val="0066665E"/>
    <w:rsid w:val="00671361"/>
    <w:rsid w:val="006800FD"/>
    <w:rsid w:val="00687CDE"/>
    <w:rsid w:val="006941B1"/>
    <w:rsid w:val="006A0C33"/>
    <w:rsid w:val="006A15E4"/>
    <w:rsid w:val="006B1A7D"/>
    <w:rsid w:val="006B201F"/>
    <w:rsid w:val="006B3251"/>
    <w:rsid w:val="006B4207"/>
    <w:rsid w:val="006C0926"/>
    <w:rsid w:val="006C158E"/>
    <w:rsid w:val="006C3113"/>
    <w:rsid w:val="006C3CA1"/>
    <w:rsid w:val="006C7818"/>
    <w:rsid w:val="006C7897"/>
    <w:rsid w:val="006D17B3"/>
    <w:rsid w:val="006D2D86"/>
    <w:rsid w:val="006D3DA6"/>
    <w:rsid w:val="006D3E76"/>
    <w:rsid w:val="006D5C46"/>
    <w:rsid w:val="006D6442"/>
    <w:rsid w:val="006E06A9"/>
    <w:rsid w:val="006E18F1"/>
    <w:rsid w:val="006E3496"/>
    <w:rsid w:val="006E742A"/>
    <w:rsid w:val="006F03B3"/>
    <w:rsid w:val="006F05EE"/>
    <w:rsid w:val="006F0AEF"/>
    <w:rsid w:val="007005FA"/>
    <w:rsid w:val="007011EE"/>
    <w:rsid w:val="00705B01"/>
    <w:rsid w:val="00706987"/>
    <w:rsid w:val="00707B9F"/>
    <w:rsid w:val="00710DE3"/>
    <w:rsid w:val="00710F17"/>
    <w:rsid w:val="0071275C"/>
    <w:rsid w:val="0071434D"/>
    <w:rsid w:val="00722B47"/>
    <w:rsid w:val="00723370"/>
    <w:rsid w:val="00726AD4"/>
    <w:rsid w:val="00726B11"/>
    <w:rsid w:val="0073338D"/>
    <w:rsid w:val="00736182"/>
    <w:rsid w:val="00740644"/>
    <w:rsid w:val="0075683A"/>
    <w:rsid w:val="00762298"/>
    <w:rsid w:val="00762449"/>
    <w:rsid w:val="007651A1"/>
    <w:rsid w:val="00765547"/>
    <w:rsid w:val="007705E0"/>
    <w:rsid w:val="00771C9F"/>
    <w:rsid w:val="00777D38"/>
    <w:rsid w:val="0078491A"/>
    <w:rsid w:val="007904E8"/>
    <w:rsid w:val="0079116D"/>
    <w:rsid w:val="0079215E"/>
    <w:rsid w:val="00794B8C"/>
    <w:rsid w:val="0079530E"/>
    <w:rsid w:val="007965C6"/>
    <w:rsid w:val="007A3AEB"/>
    <w:rsid w:val="007B02D9"/>
    <w:rsid w:val="007B06AF"/>
    <w:rsid w:val="007B2787"/>
    <w:rsid w:val="007B3A74"/>
    <w:rsid w:val="007B4DC8"/>
    <w:rsid w:val="007B4EA2"/>
    <w:rsid w:val="007B6515"/>
    <w:rsid w:val="007B7352"/>
    <w:rsid w:val="007C0EF4"/>
    <w:rsid w:val="007C1637"/>
    <w:rsid w:val="007C348F"/>
    <w:rsid w:val="007C6BBA"/>
    <w:rsid w:val="007D0545"/>
    <w:rsid w:val="007D3CE3"/>
    <w:rsid w:val="007D5192"/>
    <w:rsid w:val="007D7418"/>
    <w:rsid w:val="007E2F59"/>
    <w:rsid w:val="007E455D"/>
    <w:rsid w:val="007F33A6"/>
    <w:rsid w:val="008103F4"/>
    <w:rsid w:val="00811F9D"/>
    <w:rsid w:val="00815701"/>
    <w:rsid w:val="008170E1"/>
    <w:rsid w:val="008207D1"/>
    <w:rsid w:val="00820F2B"/>
    <w:rsid w:val="0082207C"/>
    <w:rsid w:val="00823853"/>
    <w:rsid w:val="008258C6"/>
    <w:rsid w:val="00834F64"/>
    <w:rsid w:val="008404CD"/>
    <w:rsid w:val="00842AD2"/>
    <w:rsid w:val="008447D7"/>
    <w:rsid w:val="00846F61"/>
    <w:rsid w:val="00851C6F"/>
    <w:rsid w:val="00854056"/>
    <w:rsid w:val="00860DBB"/>
    <w:rsid w:val="008612DE"/>
    <w:rsid w:val="0086172E"/>
    <w:rsid w:val="00865001"/>
    <w:rsid w:val="008671F6"/>
    <w:rsid w:val="008675B8"/>
    <w:rsid w:val="00871B30"/>
    <w:rsid w:val="00874744"/>
    <w:rsid w:val="00875960"/>
    <w:rsid w:val="00880741"/>
    <w:rsid w:val="00880AB5"/>
    <w:rsid w:val="00882DB1"/>
    <w:rsid w:val="008848DE"/>
    <w:rsid w:val="00885AD7"/>
    <w:rsid w:val="0088734C"/>
    <w:rsid w:val="00887673"/>
    <w:rsid w:val="00892961"/>
    <w:rsid w:val="00896BE2"/>
    <w:rsid w:val="008A0CF3"/>
    <w:rsid w:val="008A6075"/>
    <w:rsid w:val="008B03A3"/>
    <w:rsid w:val="008B41EA"/>
    <w:rsid w:val="008B5366"/>
    <w:rsid w:val="008B599B"/>
    <w:rsid w:val="008B6EF5"/>
    <w:rsid w:val="008B6FE1"/>
    <w:rsid w:val="008B740E"/>
    <w:rsid w:val="008C0F90"/>
    <w:rsid w:val="008C14FE"/>
    <w:rsid w:val="008D1F1B"/>
    <w:rsid w:val="008D3794"/>
    <w:rsid w:val="008D4A72"/>
    <w:rsid w:val="008E0593"/>
    <w:rsid w:val="008E62CA"/>
    <w:rsid w:val="008F0096"/>
    <w:rsid w:val="008F0526"/>
    <w:rsid w:val="008F1CFA"/>
    <w:rsid w:val="00901241"/>
    <w:rsid w:val="00901391"/>
    <w:rsid w:val="00905D41"/>
    <w:rsid w:val="009118D5"/>
    <w:rsid w:val="009153E5"/>
    <w:rsid w:val="00915CB5"/>
    <w:rsid w:val="00916C05"/>
    <w:rsid w:val="00921789"/>
    <w:rsid w:val="009239D2"/>
    <w:rsid w:val="0092611C"/>
    <w:rsid w:val="009316C3"/>
    <w:rsid w:val="00934753"/>
    <w:rsid w:val="00936724"/>
    <w:rsid w:val="00941916"/>
    <w:rsid w:val="00942C7A"/>
    <w:rsid w:val="00945809"/>
    <w:rsid w:val="00950E0E"/>
    <w:rsid w:val="009520EF"/>
    <w:rsid w:val="00952932"/>
    <w:rsid w:val="009542A3"/>
    <w:rsid w:val="0096252C"/>
    <w:rsid w:val="0096398D"/>
    <w:rsid w:val="00963E3D"/>
    <w:rsid w:val="0097740B"/>
    <w:rsid w:val="00977AC0"/>
    <w:rsid w:val="00977DDE"/>
    <w:rsid w:val="009836C8"/>
    <w:rsid w:val="009877EC"/>
    <w:rsid w:val="00994F20"/>
    <w:rsid w:val="00996B77"/>
    <w:rsid w:val="00996D07"/>
    <w:rsid w:val="009A1763"/>
    <w:rsid w:val="009B1681"/>
    <w:rsid w:val="009B2389"/>
    <w:rsid w:val="009B3DF6"/>
    <w:rsid w:val="009B5C35"/>
    <w:rsid w:val="009B7744"/>
    <w:rsid w:val="009C03F2"/>
    <w:rsid w:val="009C12D9"/>
    <w:rsid w:val="009C20FE"/>
    <w:rsid w:val="009C31DA"/>
    <w:rsid w:val="009C7C25"/>
    <w:rsid w:val="009D2A55"/>
    <w:rsid w:val="009D32B7"/>
    <w:rsid w:val="009D6F24"/>
    <w:rsid w:val="009E3377"/>
    <w:rsid w:val="009E3449"/>
    <w:rsid w:val="009E62E1"/>
    <w:rsid w:val="009E6425"/>
    <w:rsid w:val="009E7D31"/>
    <w:rsid w:val="009F08CD"/>
    <w:rsid w:val="009F0C9D"/>
    <w:rsid w:val="009F2E81"/>
    <w:rsid w:val="009F39EA"/>
    <w:rsid w:val="009F596A"/>
    <w:rsid w:val="009F599B"/>
    <w:rsid w:val="00A008F7"/>
    <w:rsid w:val="00A01599"/>
    <w:rsid w:val="00A044E2"/>
    <w:rsid w:val="00A0793F"/>
    <w:rsid w:val="00A07B84"/>
    <w:rsid w:val="00A1718B"/>
    <w:rsid w:val="00A20E58"/>
    <w:rsid w:val="00A2105D"/>
    <w:rsid w:val="00A25D9A"/>
    <w:rsid w:val="00A261D7"/>
    <w:rsid w:val="00A31BCE"/>
    <w:rsid w:val="00A32D83"/>
    <w:rsid w:val="00A367ED"/>
    <w:rsid w:val="00A374F1"/>
    <w:rsid w:val="00A537A4"/>
    <w:rsid w:val="00A54E1F"/>
    <w:rsid w:val="00A54E88"/>
    <w:rsid w:val="00A5609B"/>
    <w:rsid w:val="00A575CF"/>
    <w:rsid w:val="00A668F1"/>
    <w:rsid w:val="00A70AC3"/>
    <w:rsid w:val="00A73EC4"/>
    <w:rsid w:val="00A74E01"/>
    <w:rsid w:val="00A80A9F"/>
    <w:rsid w:val="00A82A2E"/>
    <w:rsid w:val="00A84855"/>
    <w:rsid w:val="00A84B0E"/>
    <w:rsid w:val="00A85DAF"/>
    <w:rsid w:val="00A87BA3"/>
    <w:rsid w:val="00A95A64"/>
    <w:rsid w:val="00AA799E"/>
    <w:rsid w:val="00AB227F"/>
    <w:rsid w:val="00AB3042"/>
    <w:rsid w:val="00AB5411"/>
    <w:rsid w:val="00AB6C7B"/>
    <w:rsid w:val="00AC0DBB"/>
    <w:rsid w:val="00AC45E9"/>
    <w:rsid w:val="00AC717A"/>
    <w:rsid w:val="00AD0458"/>
    <w:rsid w:val="00AD0B11"/>
    <w:rsid w:val="00AD5226"/>
    <w:rsid w:val="00AE3211"/>
    <w:rsid w:val="00AE7F44"/>
    <w:rsid w:val="00B00967"/>
    <w:rsid w:val="00B02F8B"/>
    <w:rsid w:val="00B02FCB"/>
    <w:rsid w:val="00B03526"/>
    <w:rsid w:val="00B04842"/>
    <w:rsid w:val="00B0522E"/>
    <w:rsid w:val="00B1154D"/>
    <w:rsid w:val="00B16F5D"/>
    <w:rsid w:val="00B20E39"/>
    <w:rsid w:val="00B232E3"/>
    <w:rsid w:val="00B25039"/>
    <w:rsid w:val="00B25EDB"/>
    <w:rsid w:val="00B35C52"/>
    <w:rsid w:val="00B3783A"/>
    <w:rsid w:val="00B40645"/>
    <w:rsid w:val="00B4279F"/>
    <w:rsid w:val="00B432E6"/>
    <w:rsid w:val="00B44CDC"/>
    <w:rsid w:val="00B4739B"/>
    <w:rsid w:val="00B47AF5"/>
    <w:rsid w:val="00B53627"/>
    <w:rsid w:val="00B55C6C"/>
    <w:rsid w:val="00B60DAB"/>
    <w:rsid w:val="00B61105"/>
    <w:rsid w:val="00B6187C"/>
    <w:rsid w:val="00B639C9"/>
    <w:rsid w:val="00B64DC5"/>
    <w:rsid w:val="00B65997"/>
    <w:rsid w:val="00B662E7"/>
    <w:rsid w:val="00B71841"/>
    <w:rsid w:val="00B71F9D"/>
    <w:rsid w:val="00B7252C"/>
    <w:rsid w:val="00B7787A"/>
    <w:rsid w:val="00B77CDA"/>
    <w:rsid w:val="00B803CB"/>
    <w:rsid w:val="00B80ECB"/>
    <w:rsid w:val="00B81CA0"/>
    <w:rsid w:val="00B90AB6"/>
    <w:rsid w:val="00B91E45"/>
    <w:rsid w:val="00B969E7"/>
    <w:rsid w:val="00B96AF4"/>
    <w:rsid w:val="00B97CA5"/>
    <w:rsid w:val="00BA4975"/>
    <w:rsid w:val="00BA5F6D"/>
    <w:rsid w:val="00BA6A30"/>
    <w:rsid w:val="00BA7680"/>
    <w:rsid w:val="00BB1070"/>
    <w:rsid w:val="00BB1D75"/>
    <w:rsid w:val="00BB7A28"/>
    <w:rsid w:val="00BC3772"/>
    <w:rsid w:val="00BD58B3"/>
    <w:rsid w:val="00BD751A"/>
    <w:rsid w:val="00BE3D17"/>
    <w:rsid w:val="00BE5D93"/>
    <w:rsid w:val="00BF53F9"/>
    <w:rsid w:val="00BF561A"/>
    <w:rsid w:val="00BF5F2D"/>
    <w:rsid w:val="00C010CB"/>
    <w:rsid w:val="00C017EF"/>
    <w:rsid w:val="00C02B95"/>
    <w:rsid w:val="00C101A9"/>
    <w:rsid w:val="00C10887"/>
    <w:rsid w:val="00C12125"/>
    <w:rsid w:val="00C20765"/>
    <w:rsid w:val="00C22890"/>
    <w:rsid w:val="00C22CC8"/>
    <w:rsid w:val="00C23997"/>
    <w:rsid w:val="00C2470C"/>
    <w:rsid w:val="00C24E9F"/>
    <w:rsid w:val="00C24F79"/>
    <w:rsid w:val="00C261AC"/>
    <w:rsid w:val="00C32F11"/>
    <w:rsid w:val="00C33173"/>
    <w:rsid w:val="00C34440"/>
    <w:rsid w:val="00C52774"/>
    <w:rsid w:val="00C528DC"/>
    <w:rsid w:val="00C53BE1"/>
    <w:rsid w:val="00C60880"/>
    <w:rsid w:val="00C62BA3"/>
    <w:rsid w:val="00C66514"/>
    <w:rsid w:val="00C6714B"/>
    <w:rsid w:val="00C7140B"/>
    <w:rsid w:val="00C71597"/>
    <w:rsid w:val="00C76F7D"/>
    <w:rsid w:val="00C85388"/>
    <w:rsid w:val="00C91829"/>
    <w:rsid w:val="00C91F65"/>
    <w:rsid w:val="00C92EDE"/>
    <w:rsid w:val="00C944AB"/>
    <w:rsid w:val="00C95327"/>
    <w:rsid w:val="00CA032B"/>
    <w:rsid w:val="00CB2E08"/>
    <w:rsid w:val="00CB33EB"/>
    <w:rsid w:val="00CB3EBB"/>
    <w:rsid w:val="00CB4D3D"/>
    <w:rsid w:val="00CC42DA"/>
    <w:rsid w:val="00CC69F9"/>
    <w:rsid w:val="00CD1BAC"/>
    <w:rsid w:val="00CE3FFF"/>
    <w:rsid w:val="00CE5993"/>
    <w:rsid w:val="00CE5E07"/>
    <w:rsid w:val="00CE5F75"/>
    <w:rsid w:val="00CE6C37"/>
    <w:rsid w:val="00CE7694"/>
    <w:rsid w:val="00CE7D9D"/>
    <w:rsid w:val="00CE7F49"/>
    <w:rsid w:val="00CF0A8C"/>
    <w:rsid w:val="00CF25BC"/>
    <w:rsid w:val="00D029F9"/>
    <w:rsid w:val="00D02D7F"/>
    <w:rsid w:val="00D05B2F"/>
    <w:rsid w:val="00D10F97"/>
    <w:rsid w:val="00D15369"/>
    <w:rsid w:val="00D17DB4"/>
    <w:rsid w:val="00D23EEB"/>
    <w:rsid w:val="00D24B7E"/>
    <w:rsid w:val="00D25866"/>
    <w:rsid w:val="00D27603"/>
    <w:rsid w:val="00D276A6"/>
    <w:rsid w:val="00D30795"/>
    <w:rsid w:val="00D34649"/>
    <w:rsid w:val="00D355C7"/>
    <w:rsid w:val="00D36089"/>
    <w:rsid w:val="00D36943"/>
    <w:rsid w:val="00D37DC8"/>
    <w:rsid w:val="00D40B42"/>
    <w:rsid w:val="00D43671"/>
    <w:rsid w:val="00D43EF7"/>
    <w:rsid w:val="00D4590C"/>
    <w:rsid w:val="00D47944"/>
    <w:rsid w:val="00D5477D"/>
    <w:rsid w:val="00D60D91"/>
    <w:rsid w:val="00D61009"/>
    <w:rsid w:val="00D615E8"/>
    <w:rsid w:val="00D6281C"/>
    <w:rsid w:val="00D6384F"/>
    <w:rsid w:val="00D674D2"/>
    <w:rsid w:val="00D728F4"/>
    <w:rsid w:val="00D740E6"/>
    <w:rsid w:val="00D8478D"/>
    <w:rsid w:val="00D9465E"/>
    <w:rsid w:val="00D96FDF"/>
    <w:rsid w:val="00DA3696"/>
    <w:rsid w:val="00DA3B7A"/>
    <w:rsid w:val="00DA3F4C"/>
    <w:rsid w:val="00DA6DB4"/>
    <w:rsid w:val="00DA7D3A"/>
    <w:rsid w:val="00DA7D5F"/>
    <w:rsid w:val="00DB2485"/>
    <w:rsid w:val="00DC3DC3"/>
    <w:rsid w:val="00DC569A"/>
    <w:rsid w:val="00DC5B9B"/>
    <w:rsid w:val="00DC66AE"/>
    <w:rsid w:val="00DE279B"/>
    <w:rsid w:val="00DE2844"/>
    <w:rsid w:val="00DF3B38"/>
    <w:rsid w:val="00DF3CB4"/>
    <w:rsid w:val="00DF7483"/>
    <w:rsid w:val="00E02C31"/>
    <w:rsid w:val="00E03E23"/>
    <w:rsid w:val="00E10DED"/>
    <w:rsid w:val="00E1178D"/>
    <w:rsid w:val="00E2178E"/>
    <w:rsid w:val="00E277F7"/>
    <w:rsid w:val="00E31A12"/>
    <w:rsid w:val="00E33009"/>
    <w:rsid w:val="00E35D4B"/>
    <w:rsid w:val="00E36C22"/>
    <w:rsid w:val="00E36C5A"/>
    <w:rsid w:val="00E37B18"/>
    <w:rsid w:val="00E41173"/>
    <w:rsid w:val="00E41F82"/>
    <w:rsid w:val="00E43426"/>
    <w:rsid w:val="00E45E64"/>
    <w:rsid w:val="00E46B82"/>
    <w:rsid w:val="00E50276"/>
    <w:rsid w:val="00E53AD0"/>
    <w:rsid w:val="00E5623F"/>
    <w:rsid w:val="00E63106"/>
    <w:rsid w:val="00E63697"/>
    <w:rsid w:val="00E70728"/>
    <w:rsid w:val="00E71135"/>
    <w:rsid w:val="00E7580D"/>
    <w:rsid w:val="00E76270"/>
    <w:rsid w:val="00E7769B"/>
    <w:rsid w:val="00E807DE"/>
    <w:rsid w:val="00E80A0E"/>
    <w:rsid w:val="00E85631"/>
    <w:rsid w:val="00E874CA"/>
    <w:rsid w:val="00E924E1"/>
    <w:rsid w:val="00E97C25"/>
    <w:rsid w:val="00EA32B8"/>
    <w:rsid w:val="00EA4C36"/>
    <w:rsid w:val="00EA76AC"/>
    <w:rsid w:val="00EA7CB7"/>
    <w:rsid w:val="00EB0C06"/>
    <w:rsid w:val="00EB1FD5"/>
    <w:rsid w:val="00EB2364"/>
    <w:rsid w:val="00EB3B5D"/>
    <w:rsid w:val="00EB65E3"/>
    <w:rsid w:val="00EC0CBC"/>
    <w:rsid w:val="00EC37C2"/>
    <w:rsid w:val="00EC788D"/>
    <w:rsid w:val="00EC7C55"/>
    <w:rsid w:val="00ED182D"/>
    <w:rsid w:val="00ED19E5"/>
    <w:rsid w:val="00ED2816"/>
    <w:rsid w:val="00ED30FF"/>
    <w:rsid w:val="00ED77AC"/>
    <w:rsid w:val="00EE3D05"/>
    <w:rsid w:val="00EE6BC5"/>
    <w:rsid w:val="00EE7367"/>
    <w:rsid w:val="00EF56A5"/>
    <w:rsid w:val="00EF68A7"/>
    <w:rsid w:val="00EF7201"/>
    <w:rsid w:val="00F0454B"/>
    <w:rsid w:val="00F045FB"/>
    <w:rsid w:val="00F17AC1"/>
    <w:rsid w:val="00F20002"/>
    <w:rsid w:val="00F22FAF"/>
    <w:rsid w:val="00F23A5C"/>
    <w:rsid w:val="00F23E8E"/>
    <w:rsid w:val="00F24032"/>
    <w:rsid w:val="00F340B4"/>
    <w:rsid w:val="00F40711"/>
    <w:rsid w:val="00F43410"/>
    <w:rsid w:val="00F43C81"/>
    <w:rsid w:val="00F43E55"/>
    <w:rsid w:val="00F47B59"/>
    <w:rsid w:val="00F60499"/>
    <w:rsid w:val="00F63A3F"/>
    <w:rsid w:val="00F64E30"/>
    <w:rsid w:val="00F66CE0"/>
    <w:rsid w:val="00F74303"/>
    <w:rsid w:val="00F7435B"/>
    <w:rsid w:val="00F8020C"/>
    <w:rsid w:val="00F80A50"/>
    <w:rsid w:val="00F843BD"/>
    <w:rsid w:val="00F85C23"/>
    <w:rsid w:val="00F8793A"/>
    <w:rsid w:val="00F9060F"/>
    <w:rsid w:val="00F9148B"/>
    <w:rsid w:val="00F919E4"/>
    <w:rsid w:val="00F91A4D"/>
    <w:rsid w:val="00F97E03"/>
    <w:rsid w:val="00FA1A12"/>
    <w:rsid w:val="00FB1205"/>
    <w:rsid w:val="00FB1E5D"/>
    <w:rsid w:val="00FB4AB1"/>
    <w:rsid w:val="00FC0EEE"/>
    <w:rsid w:val="00FC375B"/>
    <w:rsid w:val="00FC4637"/>
    <w:rsid w:val="00FC6A04"/>
    <w:rsid w:val="00FC7863"/>
    <w:rsid w:val="00FD0F15"/>
    <w:rsid w:val="00FD1E21"/>
    <w:rsid w:val="00FD5500"/>
    <w:rsid w:val="00FD7D5D"/>
    <w:rsid w:val="00FE0E51"/>
    <w:rsid w:val="00FE3AFB"/>
    <w:rsid w:val="00FE4F81"/>
    <w:rsid w:val="00FF100B"/>
    <w:rsid w:val="00FF5966"/>
    <w:rsid w:val="00FF7C95"/>
    <w:rsid w:val="0C983EED"/>
    <w:rsid w:val="21014B0F"/>
    <w:rsid w:val="27D61CBF"/>
    <w:rsid w:val="29566350"/>
    <w:rsid w:val="39CD7260"/>
    <w:rsid w:val="3D3F2048"/>
    <w:rsid w:val="4F7446AC"/>
    <w:rsid w:val="5F6D7016"/>
    <w:rsid w:val="657D33C5"/>
    <w:rsid w:val="671264F6"/>
    <w:rsid w:val="78871562"/>
    <w:rsid w:val="7B2A34AB"/>
    <w:rsid w:val="7EEB1ED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iPriority="9" w:semiHidden="0" w:name="heading 7"/>
    <w:lsdException w:qFormat="1" w:uiPriority="9" w:semiHidden="0" w:name="heading 8"/>
    <w:lsdException w:qFormat="1" w:uiPriority="9" w:name="heading 9"/>
    <w:lsdException w:unhideWhenUsed="0" w:uiPriority="99" w:name="index 1"/>
    <w:lsdException w:unhideWhenUsed="0" w:uiPriority="99" w:name="index 2"/>
    <w:lsdException w:unhideWhenUsed="0" w:uiPriority="99" w:name="index 3"/>
    <w:lsdException w:unhideWhenUsed="0" w:uiPriority="99" w:name="index 4"/>
    <w:lsdException w:unhideWhenUsed="0" w:uiPriority="99" w:name="index 5"/>
    <w:lsdException w:unhideWhenUsed="0" w:uiPriority="99" w:name="index 6"/>
    <w:lsdException w:unhideWhenUsed="0" w:uiPriority="99" w:name="index 7"/>
    <w:lsdException w:unhideWhenUsed="0" w:uiPriority="99" w:name="index 8"/>
    <w:lsdException w:unhideWhenUsed="0"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99" w:name="index heading"/>
    <w:lsdException w:qFormat="1" w:unhideWhenUsed="0" w:uiPriority="35" w:semiHidden="0" w:name="caption"/>
    <w:lsdException w:unhideWhenUsed="0" w:uiPriority="99" w:name="table of figures"/>
    <w:lsdException w:unhideWhenUsed="0" w:uiPriority="99" w:name="envelope address"/>
    <w:lsdException w:unhideWhenUsed="0" w:uiPriority="99" w:name="envelope return"/>
    <w:lsdException w:unhideWhenUsed="0" w:uiPriority="99" w:name="footnote reference"/>
    <w:lsdException w:qFormat="1" w:unhideWhenUsed="0" w:uiPriority="99" w:name="annotation reference"/>
    <w:lsdException w:unhideWhenUsed="0" w:uiPriority="99" w:name="line number"/>
    <w:lsdException w:unhideWhenUsed="0" w:uiPriority="99" w:name="page number"/>
    <w:lsdException w:unhideWhenUsed="0" w:uiPriority="99" w:name="endnote reference"/>
    <w:lsdException w:unhideWhenUsed="0" w:uiPriority="99" w:name="endnote text"/>
    <w:lsdException w:unhideWhenUsed="0" w:uiPriority="99" w:name="table of authorities"/>
    <w:lsdException w:unhideWhenUsed="0" w:uiPriority="99" w:name="macro"/>
    <w:lsdException w:unhideWhenUsed="0" w:uiPriority="99" w:name="toa heading"/>
    <w:lsdException w:unhideWhenUsed="0" w:uiPriority="99" w:name="List"/>
    <w:lsdException w:unhideWhenUsed="0" w:uiPriority="99" w:name="List Bullet"/>
    <w:lsdException w:unhideWhenUsed="0" w:uiPriority="99" w:name="List Number"/>
    <w:lsdException w:unhideWhenUsed="0" w:uiPriority="99" w:name="List 2"/>
    <w:lsdException w:unhideWhenUsed="0" w:uiPriority="99" w:name="List 3"/>
    <w:lsdException w:unhideWhenUsed="0" w:uiPriority="99" w:name="List 4"/>
    <w:lsdException w:unhideWhenUsed="0" w:uiPriority="99" w:name="List 5"/>
    <w:lsdException w:unhideWhenUsed="0" w:uiPriority="99" w:name="List Bullet 2"/>
    <w:lsdException w:unhideWhenUsed="0" w:uiPriority="99" w:name="List Bullet 3"/>
    <w:lsdException w:unhideWhenUsed="0" w:uiPriority="99" w:name="List Bullet 4"/>
    <w:lsdException w:unhideWhenUsed="0" w:uiPriority="99" w:name="List Bullet 5"/>
    <w:lsdException w:unhideWhenUsed="0" w:uiPriority="99" w:name="List Number 2"/>
    <w:lsdException w:unhideWhenUsed="0" w:uiPriority="99" w:name="List Number 3"/>
    <w:lsdException w:unhideWhenUsed="0" w:uiPriority="99" w:name="List Number 4"/>
    <w:lsdException w:unhideWhenUsed="0" w:uiPriority="99" w:name="List Number 5"/>
    <w:lsdException w:qFormat="1" w:unhideWhenUsed="0" w:uiPriority="10" w:semiHidden="0" w:name="Title"/>
    <w:lsdException w:unhideWhenUsed="0" w:uiPriority="99" w:name="Closing"/>
    <w:lsdException w:unhideWhenUsed="0" w:uiPriority="99" w:name="Signature"/>
    <w:lsdException w:qFormat="1" w:uiPriority="1" w:semiHidden="0" w:name="Default Paragraph Font"/>
    <w:lsdException w:qFormat="1" w:unhideWhenUsed="0" w:uiPriority="99" w:name="Body Text"/>
    <w:lsdException w:unhideWhenUsed="0" w:uiPriority="99" w:name="Body Text Indent"/>
    <w:lsdException w:unhideWhenUsed="0" w:uiPriority="99" w:name="List Continue"/>
    <w:lsdException w:unhideWhenUsed="0" w:uiPriority="99" w:name="List Continue 2"/>
    <w:lsdException w:unhideWhenUsed="0" w:uiPriority="99" w:name="List Continue 3"/>
    <w:lsdException w:unhideWhenUsed="0" w:uiPriority="99" w:name="List Continue 4"/>
    <w:lsdException w:unhideWhenUsed="0" w:uiPriority="99" w:name="List Continue 5"/>
    <w:lsdException w:qFormat="1" w:unhideWhenUsed="0" w:uiPriority="0" w:semiHidden="0" w:name="Message Header"/>
    <w:lsdException w:qFormat="1" w:unhideWhenUsed="0" w:uiPriority="11" w:semiHidden="0" w:name="Subtitle"/>
    <w:lsdException w:unhideWhenUsed="0" w:uiPriority="99" w:name="Salutation"/>
    <w:lsdException w:qFormat="1" w:unhideWhenUsed="0" w:uiPriority="99" w:name="Date"/>
    <w:lsdException w:qFormat="1" w:unhideWhenUsed="0" w:uiPriority="99" w:name="Body Text First Indent"/>
    <w:lsdException w:unhideWhenUsed="0" w:uiPriority="99" w:name="Body Text First Indent 2"/>
    <w:lsdException w:unhideWhenUsed="0" w:uiPriority="99" w:name="Note Heading"/>
    <w:lsdException w:qFormat="1" w:unhideWhenUsed="0" w:uiPriority="0" w:semiHidden="0" w:name="Body Text 2"/>
    <w:lsdException w:unhideWhenUsed="0" w:uiPriority="99" w:name="Body Text 3"/>
    <w:lsdException w:unhideWhenUsed="0" w:uiPriority="99" w:name="Body Text Indent 2"/>
    <w:lsdException w:unhideWhenUsed="0"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99" w:name="Document Map"/>
    <w:lsdException w:qFormat="1" w:unhideWhenUsed="0" w:uiPriority="0" w:semiHidden="0" w:name="Plain Text"/>
    <w:lsdException w:unhideWhenUsed="0" w:uiPriority="99" w:name="E-mail Signature"/>
    <w:lsdException w:unhideWhenUsed="0" w:uiPriority="99" w:name="Normal (Web)"/>
    <w:lsdException w:unhideWhenUsed="0" w:uiPriority="99" w:name="HTML Acronym"/>
    <w:lsdException w:unhideWhenUsed="0" w:uiPriority="99" w:name="HTML Address"/>
    <w:lsdException w:unhideWhenUsed="0" w:uiPriority="99" w:name="HTML Cite"/>
    <w:lsdException w:qFormat="1" w:unhideWhenUsed="0" w:uiPriority="0" w:name="HTML Code"/>
    <w:lsdException w:unhideWhenUsed="0" w:uiPriority="99" w:name="HTML Definition"/>
    <w:lsdException w:unhideWhenUsed="0" w:uiPriority="99" w:name="HTML Keyboard"/>
    <w:lsdException w:unhideWhenUsed="0" w:uiPriority="99" w:name="HTML Preformatted"/>
    <w:lsdException w:unhideWhenUsed="0" w:uiPriority="99" w:name="HTML Sample"/>
    <w:lsdException w:unhideWhenUsed="0" w:uiPriority="99" w:name="HTML Typewriter"/>
    <w:lsdException w:unhideWhenUsed="0"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pPr>
    <w:rPr>
      <w:rFonts w:ascii="Times New Roman" w:hAnsi="Times New Roman" w:eastAsia="宋体" w:cs="Times New Roman"/>
      <w:kern w:val="2"/>
      <w:sz w:val="24"/>
      <w:szCs w:val="22"/>
      <w:lang w:val="en-US" w:eastAsia="zh-CN" w:bidi="ar-SA"/>
    </w:rPr>
  </w:style>
  <w:style w:type="paragraph" w:styleId="3">
    <w:name w:val="heading 1"/>
    <w:basedOn w:val="1"/>
    <w:next w:val="1"/>
    <w:link w:val="42"/>
    <w:qFormat/>
    <w:uiPriority w:val="0"/>
    <w:pPr>
      <w:keepNext/>
      <w:keepLines/>
      <w:pageBreakBefore/>
      <w:numPr>
        <w:ilvl w:val="0"/>
        <w:numId w:val="1"/>
      </w:numPr>
      <w:spacing w:before="120" w:after="100"/>
      <w:ind w:firstLine="0" w:firstLineChars="0"/>
      <w:jc w:val="center"/>
      <w:outlineLvl w:val="0"/>
    </w:pPr>
    <w:rPr>
      <w:rFonts w:ascii="宋体" w:hAnsi="宋体"/>
      <w:b/>
      <w:bCs/>
      <w:kern w:val="44"/>
      <w:sz w:val="28"/>
      <w:szCs w:val="44"/>
    </w:rPr>
  </w:style>
  <w:style w:type="paragraph" w:styleId="4">
    <w:name w:val="heading 2"/>
    <w:basedOn w:val="1"/>
    <w:next w:val="5"/>
    <w:link w:val="43"/>
    <w:qFormat/>
    <w:uiPriority w:val="0"/>
    <w:pPr>
      <w:keepNext/>
      <w:keepLines/>
      <w:numPr>
        <w:ilvl w:val="1"/>
        <w:numId w:val="1"/>
      </w:numPr>
      <w:ind w:left="0" w:firstLineChars="0"/>
      <w:outlineLvl w:val="1"/>
    </w:pPr>
    <w:rPr>
      <w:rFonts w:ascii="Arial" w:hAnsi="Arial"/>
      <w:b/>
      <w:bCs/>
      <w:szCs w:val="32"/>
    </w:rPr>
  </w:style>
  <w:style w:type="paragraph" w:styleId="7">
    <w:name w:val="heading 3"/>
    <w:basedOn w:val="1"/>
    <w:next w:val="1"/>
    <w:link w:val="46"/>
    <w:qFormat/>
    <w:uiPriority w:val="0"/>
    <w:pPr>
      <w:keepNext/>
      <w:keepLines/>
      <w:numPr>
        <w:ilvl w:val="2"/>
        <w:numId w:val="1"/>
      </w:numPr>
      <w:ind w:firstLine="0" w:firstLineChars="0"/>
      <w:outlineLvl w:val="2"/>
    </w:pPr>
    <w:rPr>
      <w:rFonts w:ascii="宋体" w:hAnsi="宋体"/>
      <w:szCs w:val="32"/>
    </w:rPr>
  </w:style>
  <w:style w:type="paragraph" w:styleId="8">
    <w:name w:val="heading 4"/>
    <w:basedOn w:val="1"/>
    <w:next w:val="1"/>
    <w:link w:val="47"/>
    <w:qFormat/>
    <w:uiPriority w:val="0"/>
    <w:pPr>
      <w:keepNext/>
      <w:keepLines/>
      <w:numPr>
        <w:ilvl w:val="3"/>
        <w:numId w:val="1"/>
      </w:numPr>
      <w:ind w:left="0" w:firstLineChars="0"/>
      <w:outlineLvl w:val="3"/>
    </w:pPr>
    <w:rPr>
      <w:bCs/>
      <w:szCs w:val="28"/>
    </w:rPr>
  </w:style>
  <w:style w:type="paragraph" w:styleId="9">
    <w:name w:val="heading 5"/>
    <w:basedOn w:val="1"/>
    <w:next w:val="1"/>
    <w:link w:val="48"/>
    <w:qFormat/>
    <w:uiPriority w:val="9"/>
    <w:pPr>
      <w:keepNext/>
      <w:keepLines/>
      <w:spacing w:before="280" w:after="290" w:line="376" w:lineRule="auto"/>
      <w:ind w:firstLine="562"/>
      <w:outlineLvl w:val="4"/>
    </w:pPr>
    <w:rPr>
      <w:b/>
      <w:bCs/>
      <w:kern w:val="0"/>
      <w:szCs w:val="28"/>
    </w:rPr>
  </w:style>
  <w:style w:type="paragraph" w:styleId="10">
    <w:name w:val="heading 6"/>
    <w:basedOn w:val="1"/>
    <w:next w:val="1"/>
    <w:link w:val="49"/>
    <w:qFormat/>
    <w:uiPriority w:val="9"/>
    <w:pPr>
      <w:keepNext/>
      <w:keepLines/>
      <w:spacing w:before="240" w:after="64" w:line="320" w:lineRule="auto"/>
      <w:outlineLvl w:val="5"/>
    </w:pPr>
    <w:rPr>
      <w:rFonts w:ascii="等线 Light" w:hAnsi="等线 Light" w:cs="Times New Roman"/>
      <w:b/>
      <w:bCs/>
      <w:szCs w:val="24"/>
    </w:rPr>
  </w:style>
  <w:style w:type="paragraph" w:styleId="11">
    <w:name w:val="heading 7"/>
    <w:basedOn w:val="1"/>
    <w:next w:val="1"/>
    <w:link w:val="50"/>
    <w:unhideWhenUsed/>
    <w:qFormat/>
    <w:uiPriority w:val="9"/>
    <w:pPr>
      <w:keepNext/>
      <w:keepLines/>
      <w:spacing w:before="240" w:after="64" w:line="320" w:lineRule="auto"/>
      <w:outlineLvl w:val="6"/>
    </w:pPr>
    <w:rPr>
      <w:b/>
      <w:bCs/>
      <w:szCs w:val="24"/>
    </w:rPr>
  </w:style>
  <w:style w:type="paragraph" w:styleId="12">
    <w:name w:val="heading 8"/>
    <w:basedOn w:val="1"/>
    <w:next w:val="1"/>
    <w:link w:val="51"/>
    <w:unhideWhenUsed/>
    <w:qFormat/>
    <w:uiPriority w:val="9"/>
    <w:pPr>
      <w:keepNext/>
      <w:keepLines/>
      <w:spacing w:before="240" w:after="64" w:line="320" w:lineRule="auto"/>
      <w:outlineLvl w:val="7"/>
    </w:pPr>
    <w:rPr>
      <w:rFonts w:ascii="等线 Light" w:hAnsi="等线 Light" w:eastAsia="等线 Light" w:cs="Times New Roman"/>
      <w:szCs w:val="24"/>
    </w:rPr>
  </w:style>
  <w:style w:type="character" w:default="1" w:styleId="36">
    <w:name w:val="Default Paragraph Font"/>
    <w:unhideWhenUsed/>
    <w:qFormat/>
    <w:uiPriority w:val="1"/>
  </w:style>
  <w:style w:type="table" w:default="1" w:styleId="34">
    <w:name w:val="Normal Table"/>
    <w:unhideWhenUsed/>
    <w:qFormat/>
    <w:uiPriority w:val="99"/>
    <w:tblPr>
      <w:tblCellMar>
        <w:top w:w="0" w:type="dxa"/>
        <w:left w:w="108" w:type="dxa"/>
        <w:bottom w:w="0" w:type="dxa"/>
        <w:right w:w="108" w:type="dxa"/>
      </w:tblCellMar>
    </w:tblPr>
  </w:style>
  <w:style w:type="paragraph" w:styleId="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szCs w:val="24"/>
    </w:rPr>
  </w:style>
  <w:style w:type="paragraph" w:styleId="5">
    <w:name w:val="Body Text First Indent"/>
    <w:basedOn w:val="6"/>
    <w:link w:val="45"/>
    <w:semiHidden/>
    <w:qFormat/>
    <w:uiPriority w:val="99"/>
    <w:pPr>
      <w:ind w:firstLine="420" w:firstLineChars="100"/>
    </w:pPr>
  </w:style>
  <w:style w:type="paragraph" w:styleId="6">
    <w:name w:val="Body Text"/>
    <w:basedOn w:val="1"/>
    <w:link w:val="44"/>
    <w:semiHidden/>
    <w:qFormat/>
    <w:uiPriority w:val="99"/>
    <w:pPr>
      <w:spacing w:after="120"/>
    </w:pPr>
  </w:style>
  <w:style w:type="paragraph" w:styleId="13">
    <w:name w:val="toc 7"/>
    <w:basedOn w:val="1"/>
    <w:next w:val="1"/>
    <w:unhideWhenUsed/>
    <w:qFormat/>
    <w:uiPriority w:val="39"/>
    <w:pPr>
      <w:spacing w:line="240" w:lineRule="auto"/>
      <w:ind w:left="2520" w:leftChars="1200" w:firstLine="0" w:firstLineChars="0"/>
      <w:jc w:val="both"/>
    </w:pPr>
    <w:rPr>
      <w:rFonts w:ascii="等线" w:hAnsi="等线" w:eastAsia="等线" w:cs="Times New Roman"/>
      <w:sz w:val="21"/>
    </w:rPr>
  </w:style>
  <w:style w:type="paragraph" w:styleId="14">
    <w:name w:val="Normal Indent"/>
    <w:basedOn w:val="1"/>
    <w:qFormat/>
    <w:uiPriority w:val="0"/>
    <w:pPr>
      <w:ind w:firstLine="420"/>
    </w:pPr>
    <w:rPr>
      <w:szCs w:val="28"/>
    </w:rPr>
  </w:style>
  <w:style w:type="paragraph" w:styleId="15">
    <w:name w:val="caption"/>
    <w:basedOn w:val="1"/>
    <w:next w:val="1"/>
    <w:qFormat/>
    <w:uiPriority w:val="35"/>
    <w:rPr>
      <w:rFonts w:ascii="Calibri Light" w:hAnsi="Calibri Light" w:eastAsia="黑体" w:cs="Times New Roman"/>
      <w:sz w:val="20"/>
      <w:szCs w:val="20"/>
    </w:rPr>
  </w:style>
  <w:style w:type="paragraph" w:styleId="16">
    <w:name w:val="Document Map"/>
    <w:basedOn w:val="1"/>
    <w:link w:val="52"/>
    <w:semiHidden/>
    <w:qFormat/>
    <w:uiPriority w:val="99"/>
    <w:rPr>
      <w:rFonts w:ascii="宋体" w:hAnsi="Calibri"/>
      <w:kern w:val="0"/>
      <w:sz w:val="18"/>
      <w:szCs w:val="18"/>
    </w:rPr>
  </w:style>
  <w:style w:type="paragraph" w:styleId="17">
    <w:name w:val="annotation text"/>
    <w:basedOn w:val="1"/>
    <w:link w:val="53"/>
    <w:qFormat/>
    <w:uiPriority w:val="99"/>
  </w:style>
  <w:style w:type="paragraph" w:styleId="18">
    <w:name w:val="Block Text"/>
    <w:basedOn w:val="1"/>
    <w:link w:val="54"/>
    <w:qFormat/>
    <w:uiPriority w:val="0"/>
    <w:pPr>
      <w:widowControl/>
      <w:pBdr>
        <w:top w:val="single" w:color="auto" w:sz="6" w:space="3"/>
        <w:left w:val="single" w:color="auto" w:sz="6" w:space="3"/>
        <w:bottom w:val="single" w:color="auto" w:sz="6" w:space="3"/>
        <w:right w:val="single" w:color="auto" w:sz="6" w:space="3"/>
      </w:pBdr>
      <w:spacing w:before="120" w:after="120" w:line="240" w:lineRule="auto"/>
      <w:ind w:left="360" w:right="360" w:firstLine="0" w:firstLineChars="0"/>
    </w:pPr>
    <w:rPr>
      <w:rFonts w:ascii="Arial" w:hAnsi="Arial" w:eastAsia="等线"/>
      <w:i/>
      <w:kern w:val="0"/>
      <w:sz w:val="20"/>
      <w:szCs w:val="20"/>
    </w:rPr>
  </w:style>
  <w:style w:type="paragraph" w:styleId="19">
    <w:name w:val="toc 5"/>
    <w:basedOn w:val="1"/>
    <w:next w:val="1"/>
    <w:unhideWhenUsed/>
    <w:qFormat/>
    <w:uiPriority w:val="39"/>
    <w:pPr>
      <w:spacing w:line="240" w:lineRule="auto"/>
      <w:ind w:left="1680" w:leftChars="800" w:firstLine="0" w:firstLineChars="0"/>
      <w:jc w:val="both"/>
    </w:pPr>
    <w:rPr>
      <w:rFonts w:ascii="等线" w:hAnsi="等线" w:eastAsia="等线" w:cs="Times New Roman"/>
      <w:sz w:val="21"/>
    </w:rPr>
  </w:style>
  <w:style w:type="paragraph" w:styleId="20">
    <w:name w:val="toc 3"/>
    <w:basedOn w:val="1"/>
    <w:next w:val="1"/>
    <w:qFormat/>
    <w:uiPriority w:val="39"/>
    <w:pPr>
      <w:tabs>
        <w:tab w:val="right" w:leader="dot" w:pos="9060"/>
      </w:tabs>
    </w:pPr>
  </w:style>
  <w:style w:type="paragraph" w:styleId="21">
    <w:name w:val="Plain Text"/>
    <w:basedOn w:val="1"/>
    <w:qFormat/>
    <w:uiPriority w:val="0"/>
    <w:rPr>
      <w:rFonts w:ascii="宋体" w:hAnsi="Courier New" w:cs="Courier New"/>
      <w:kern w:val="44"/>
      <w:szCs w:val="21"/>
    </w:rPr>
  </w:style>
  <w:style w:type="paragraph" w:styleId="22">
    <w:name w:val="toc 8"/>
    <w:basedOn w:val="1"/>
    <w:next w:val="1"/>
    <w:unhideWhenUsed/>
    <w:qFormat/>
    <w:uiPriority w:val="39"/>
    <w:pPr>
      <w:spacing w:line="240" w:lineRule="auto"/>
      <w:ind w:left="2940" w:leftChars="1400" w:firstLine="0" w:firstLineChars="0"/>
      <w:jc w:val="both"/>
    </w:pPr>
    <w:rPr>
      <w:rFonts w:ascii="等线" w:hAnsi="等线" w:eastAsia="等线" w:cs="Times New Roman"/>
      <w:sz w:val="21"/>
    </w:rPr>
  </w:style>
  <w:style w:type="paragraph" w:styleId="23">
    <w:name w:val="Date"/>
    <w:basedOn w:val="1"/>
    <w:next w:val="1"/>
    <w:link w:val="55"/>
    <w:semiHidden/>
    <w:qFormat/>
    <w:uiPriority w:val="99"/>
    <w:pPr>
      <w:ind w:left="100" w:leftChars="2500"/>
    </w:pPr>
  </w:style>
  <w:style w:type="paragraph" w:styleId="24">
    <w:name w:val="Balloon Text"/>
    <w:basedOn w:val="1"/>
    <w:link w:val="56"/>
    <w:semiHidden/>
    <w:qFormat/>
    <w:uiPriority w:val="99"/>
    <w:pPr>
      <w:spacing w:line="240" w:lineRule="auto"/>
    </w:pPr>
    <w:rPr>
      <w:kern w:val="0"/>
      <w:sz w:val="18"/>
      <w:szCs w:val="18"/>
    </w:rPr>
  </w:style>
  <w:style w:type="paragraph" w:styleId="25">
    <w:name w:val="footer"/>
    <w:basedOn w:val="1"/>
    <w:link w:val="57"/>
    <w:qFormat/>
    <w:uiPriority w:val="99"/>
    <w:pPr>
      <w:tabs>
        <w:tab w:val="center" w:pos="4153"/>
        <w:tab w:val="right" w:pos="8306"/>
      </w:tabs>
      <w:snapToGrid w:val="0"/>
      <w:spacing w:line="240" w:lineRule="auto"/>
      <w:ind w:firstLine="0" w:firstLineChars="0"/>
      <w:jc w:val="center"/>
    </w:pPr>
    <w:rPr>
      <w:rFonts w:ascii="宋体" w:hAnsi="宋体"/>
      <w:sz w:val="21"/>
      <w:szCs w:val="18"/>
    </w:rPr>
  </w:style>
  <w:style w:type="paragraph" w:styleId="26">
    <w:name w:val="header"/>
    <w:basedOn w:val="1"/>
    <w:link w:val="58"/>
    <w:qFormat/>
    <w:uiPriority w:val="99"/>
    <w:pPr>
      <w:pBdr>
        <w:bottom w:val="single" w:color="auto" w:sz="6" w:space="1"/>
      </w:pBdr>
      <w:tabs>
        <w:tab w:val="center" w:pos="4153"/>
        <w:tab w:val="right" w:pos="8306"/>
      </w:tabs>
      <w:snapToGrid w:val="0"/>
      <w:spacing w:line="240" w:lineRule="auto"/>
      <w:ind w:firstLine="0" w:firstLineChars="0"/>
      <w:jc w:val="both"/>
    </w:pPr>
    <w:rPr>
      <w:rFonts w:ascii="宋体" w:hAnsi="宋体"/>
      <w:kern w:val="0"/>
      <w:sz w:val="21"/>
      <w:szCs w:val="18"/>
    </w:rPr>
  </w:style>
  <w:style w:type="paragraph" w:styleId="27">
    <w:name w:val="toc 1"/>
    <w:basedOn w:val="1"/>
    <w:next w:val="1"/>
    <w:qFormat/>
    <w:uiPriority w:val="39"/>
    <w:pPr>
      <w:tabs>
        <w:tab w:val="right" w:leader="dot" w:pos="9060"/>
      </w:tabs>
      <w:ind w:firstLine="0" w:firstLineChars="0"/>
      <w:jc w:val="center"/>
    </w:pPr>
    <w:rPr>
      <w:b/>
      <w:sz w:val="28"/>
    </w:rPr>
  </w:style>
  <w:style w:type="paragraph" w:styleId="28">
    <w:name w:val="toc 4"/>
    <w:basedOn w:val="1"/>
    <w:next w:val="1"/>
    <w:unhideWhenUsed/>
    <w:qFormat/>
    <w:uiPriority w:val="39"/>
    <w:pPr>
      <w:spacing w:line="240" w:lineRule="auto"/>
      <w:ind w:left="1260" w:leftChars="600" w:firstLine="0" w:firstLineChars="0"/>
      <w:jc w:val="both"/>
    </w:pPr>
    <w:rPr>
      <w:rFonts w:ascii="等线" w:hAnsi="等线" w:eastAsia="等线" w:cs="Times New Roman"/>
      <w:sz w:val="21"/>
    </w:rPr>
  </w:style>
  <w:style w:type="paragraph" w:styleId="29">
    <w:name w:val="toc 6"/>
    <w:basedOn w:val="1"/>
    <w:next w:val="1"/>
    <w:unhideWhenUsed/>
    <w:qFormat/>
    <w:uiPriority w:val="39"/>
    <w:pPr>
      <w:spacing w:line="240" w:lineRule="auto"/>
      <w:ind w:left="2100" w:leftChars="1000" w:firstLine="0" w:firstLineChars="0"/>
      <w:jc w:val="both"/>
    </w:pPr>
    <w:rPr>
      <w:rFonts w:ascii="等线" w:hAnsi="等线" w:eastAsia="等线" w:cs="Times New Roman"/>
      <w:sz w:val="21"/>
    </w:rPr>
  </w:style>
  <w:style w:type="paragraph" w:styleId="30">
    <w:name w:val="toc 2"/>
    <w:basedOn w:val="1"/>
    <w:next w:val="1"/>
    <w:qFormat/>
    <w:uiPriority w:val="39"/>
    <w:pPr>
      <w:tabs>
        <w:tab w:val="right" w:leader="dot" w:pos="9060"/>
      </w:tabs>
      <w:ind w:firstLine="100" w:firstLineChars="100"/>
    </w:pPr>
  </w:style>
  <w:style w:type="paragraph" w:styleId="31">
    <w:name w:val="toc 9"/>
    <w:basedOn w:val="1"/>
    <w:next w:val="1"/>
    <w:unhideWhenUsed/>
    <w:qFormat/>
    <w:uiPriority w:val="39"/>
    <w:pPr>
      <w:spacing w:line="240" w:lineRule="auto"/>
      <w:ind w:left="3360" w:leftChars="1600" w:firstLine="0" w:firstLineChars="0"/>
      <w:jc w:val="both"/>
    </w:pPr>
    <w:rPr>
      <w:rFonts w:ascii="等线" w:hAnsi="等线" w:eastAsia="等线" w:cs="Times New Roman"/>
      <w:sz w:val="21"/>
    </w:rPr>
  </w:style>
  <w:style w:type="paragraph" w:styleId="32">
    <w:name w:val="Body Text 2"/>
    <w:basedOn w:val="1"/>
    <w:qFormat/>
    <w:uiPriority w:val="0"/>
    <w:pPr>
      <w:jc w:val="center"/>
    </w:pPr>
  </w:style>
  <w:style w:type="paragraph" w:styleId="33">
    <w:name w:val="annotation subject"/>
    <w:basedOn w:val="17"/>
    <w:next w:val="17"/>
    <w:link w:val="59"/>
    <w:semiHidden/>
    <w:qFormat/>
    <w:uiPriority w:val="99"/>
    <w:rPr>
      <w:b/>
      <w:bCs/>
    </w:rPr>
  </w:style>
  <w:style w:type="table" w:styleId="35">
    <w:name w:val="Table Grid"/>
    <w:basedOn w:val="34"/>
    <w:qFormat/>
    <w:uiPriority w:val="0"/>
    <w:pPr>
      <w:jc w:val="center"/>
    </w:pPr>
    <w:rPr>
      <w:rFonts w:eastAsia="宋体"/>
      <w:sz w:val="24"/>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character" w:styleId="37">
    <w:name w:val="Strong"/>
    <w:qFormat/>
    <w:uiPriority w:val="0"/>
    <w:rPr>
      <w:b/>
    </w:rPr>
  </w:style>
  <w:style w:type="character" w:styleId="38">
    <w:name w:val="FollowedHyperlink"/>
    <w:unhideWhenUsed/>
    <w:qFormat/>
    <w:uiPriority w:val="99"/>
    <w:rPr>
      <w:color w:val="800080"/>
      <w:u w:val="single"/>
    </w:rPr>
  </w:style>
  <w:style w:type="character" w:styleId="39">
    <w:name w:val="Emphasis"/>
    <w:qFormat/>
    <w:uiPriority w:val="0"/>
  </w:style>
  <w:style w:type="character" w:styleId="40">
    <w:name w:val="Hyperlink"/>
    <w:unhideWhenUsed/>
    <w:qFormat/>
    <w:uiPriority w:val="99"/>
    <w:rPr>
      <w:color w:val="0563C1"/>
      <w:u w:val="single"/>
    </w:rPr>
  </w:style>
  <w:style w:type="character" w:styleId="41">
    <w:name w:val="annotation reference"/>
    <w:semiHidden/>
    <w:qFormat/>
    <w:uiPriority w:val="99"/>
    <w:rPr>
      <w:sz w:val="21"/>
      <w:szCs w:val="21"/>
    </w:rPr>
  </w:style>
  <w:style w:type="character" w:customStyle="1" w:styleId="42">
    <w:name w:val="标题 1 字符"/>
    <w:link w:val="3"/>
    <w:qFormat/>
    <w:uiPriority w:val="0"/>
    <w:rPr>
      <w:rFonts w:ascii="宋体" w:hAnsi="宋体"/>
      <w:b/>
      <w:bCs/>
      <w:kern w:val="44"/>
      <w:sz w:val="28"/>
      <w:szCs w:val="44"/>
    </w:rPr>
  </w:style>
  <w:style w:type="character" w:customStyle="1" w:styleId="43">
    <w:name w:val="标题 2 字符"/>
    <w:link w:val="4"/>
    <w:qFormat/>
    <w:uiPriority w:val="0"/>
    <w:rPr>
      <w:rFonts w:ascii="Arial" w:hAnsi="Arial"/>
      <w:b/>
      <w:bCs/>
      <w:kern w:val="2"/>
      <w:sz w:val="24"/>
      <w:szCs w:val="32"/>
    </w:rPr>
  </w:style>
  <w:style w:type="character" w:customStyle="1" w:styleId="44">
    <w:name w:val="正文文本 字符"/>
    <w:link w:val="6"/>
    <w:semiHidden/>
    <w:qFormat/>
    <w:uiPriority w:val="99"/>
    <w:rPr>
      <w:rFonts w:ascii="Times New Roman" w:hAnsi="Times New Roman"/>
      <w:kern w:val="2"/>
      <w:sz w:val="24"/>
      <w:szCs w:val="22"/>
    </w:rPr>
  </w:style>
  <w:style w:type="character" w:customStyle="1" w:styleId="45">
    <w:name w:val="正文文本首行缩进 字符"/>
    <w:basedOn w:val="44"/>
    <w:link w:val="5"/>
    <w:qFormat/>
    <w:uiPriority w:val="0"/>
  </w:style>
  <w:style w:type="character" w:customStyle="1" w:styleId="46">
    <w:name w:val="标题 3 字符"/>
    <w:link w:val="7"/>
    <w:qFormat/>
    <w:uiPriority w:val="0"/>
    <w:rPr>
      <w:rFonts w:ascii="宋体" w:hAnsi="宋体"/>
      <w:kern w:val="2"/>
      <w:sz w:val="24"/>
      <w:szCs w:val="32"/>
    </w:rPr>
  </w:style>
  <w:style w:type="character" w:customStyle="1" w:styleId="47">
    <w:name w:val="标题 4 字符"/>
    <w:link w:val="8"/>
    <w:qFormat/>
    <w:uiPriority w:val="0"/>
    <w:rPr>
      <w:bCs/>
      <w:kern w:val="2"/>
      <w:sz w:val="24"/>
      <w:szCs w:val="28"/>
    </w:rPr>
  </w:style>
  <w:style w:type="character" w:customStyle="1" w:styleId="48">
    <w:name w:val="标题 5 字符"/>
    <w:link w:val="9"/>
    <w:semiHidden/>
    <w:qFormat/>
    <w:uiPriority w:val="9"/>
    <w:rPr>
      <w:rFonts w:ascii="Times New Roman" w:hAnsi="Times New Roman"/>
      <w:b/>
      <w:bCs/>
      <w:sz w:val="24"/>
      <w:szCs w:val="28"/>
    </w:rPr>
  </w:style>
  <w:style w:type="character" w:customStyle="1" w:styleId="49">
    <w:name w:val="标题 6 字符"/>
    <w:link w:val="10"/>
    <w:semiHidden/>
    <w:qFormat/>
    <w:uiPriority w:val="9"/>
    <w:rPr>
      <w:rFonts w:ascii="等线 Light" w:hAnsi="等线 Light"/>
      <w:b/>
      <w:bCs/>
      <w:kern w:val="2"/>
      <w:sz w:val="24"/>
      <w:szCs w:val="24"/>
    </w:rPr>
  </w:style>
  <w:style w:type="character" w:customStyle="1" w:styleId="50">
    <w:name w:val="标题 7 字符"/>
    <w:link w:val="11"/>
    <w:semiHidden/>
    <w:qFormat/>
    <w:uiPriority w:val="9"/>
    <w:rPr>
      <w:b/>
      <w:bCs/>
      <w:kern w:val="2"/>
      <w:sz w:val="24"/>
      <w:szCs w:val="24"/>
    </w:rPr>
  </w:style>
  <w:style w:type="character" w:customStyle="1" w:styleId="51">
    <w:name w:val="标题 8 字符"/>
    <w:link w:val="12"/>
    <w:semiHidden/>
    <w:qFormat/>
    <w:uiPriority w:val="9"/>
    <w:rPr>
      <w:rFonts w:ascii="等线 Light" w:hAnsi="等线 Light" w:eastAsia="等线 Light" w:cs="Times New Roman"/>
      <w:kern w:val="2"/>
      <w:sz w:val="24"/>
      <w:szCs w:val="24"/>
    </w:rPr>
  </w:style>
  <w:style w:type="character" w:customStyle="1" w:styleId="52">
    <w:name w:val="文档结构图 字符"/>
    <w:link w:val="16"/>
    <w:semiHidden/>
    <w:qFormat/>
    <w:uiPriority w:val="99"/>
    <w:rPr>
      <w:rFonts w:ascii="宋体"/>
      <w:sz w:val="18"/>
      <w:szCs w:val="18"/>
    </w:rPr>
  </w:style>
  <w:style w:type="character" w:customStyle="1" w:styleId="53">
    <w:name w:val="批注文字 字符"/>
    <w:link w:val="17"/>
    <w:semiHidden/>
    <w:qFormat/>
    <w:uiPriority w:val="99"/>
    <w:rPr>
      <w:rFonts w:ascii="Times New Roman" w:hAnsi="Times New Roman"/>
      <w:kern w:val="2"/>
      <w:sz w:val="24"/>
      <w:szCs w:val="22"/>
    </w:rPr>
  </w:style>
  <w:style w:type="character" w:customStyle="1" w:styleId="54">
    <w:name w:val="文本块 字符"/>
    <w:link w:val="18"/>
    <w:qFormat/>
    <w:uiPriority w:val="0"/>
    <w:rPr>
      <w:rFonts w:ascii="Arial" w:hAnsi="Arial" w:eastAsia="等线"/>
      <w:i/>
    </w:rPr>
  </w:style>
  <w:style w:type="character" w:customStyle="1" w:styleId="55">
    <w:name w:val="日期 字符"/>
    <w:link w:val="23"/>
    <w:semiHidden/>
    <w:qFormat/>
    <w:uiPriority w:val="99"/>
    <w:rPr>
      <w:rFonts w:ascii="Times New Roman" w:hAnsi="Times New Roman"/>
      <w:kern w:val="2"/>
      <w:sz w:val="24"/>
      <w:szCs w:val="22"/>
    </w:rPr>
  </w:style>
  <w:style w:type="character" w:customStyle="1" w:styleId="56">
    <w:name w:val="批注框文本 字符"/>
    <w:link w:val="24"/>
    <w:semiHidden/>
    <w:qFormat/>
    <w:uiPriority w:val="99"/>
    <w:rPr>
      <w:rFonts w:ascii="Times New Roman" w:hAnsi="Times New Roman"/>
      <w:sz w:val="18"/>
      <w:szCs w:val="18"/>
    </w:rPr>
  </w:style>
  <w:style w:type="character" w:customStyle="1" w:styleId="57">
    <w:name w:val="页脚 字符"/>
    <w:link w:val="25"/>
    <w:qFormat/>
    <w:uiPriority w:val="99"/>
    <w:rPr>
      <w:rFonts w:ascii="宋体" w:hAnsi="宋体"/>
      <w:kern w:val="2"/>
      <w:sz w:val="21"/>
      <w:szCs w:val="18"/>
    </w:rPr>
  </w:style>
  <w:style w:type="character" w:customStyle="1" w:styleId="58">
    <w:name w:val="页眉 字符"/>
    <w:link w:val="26"/>
    <w:qFormat/>
    <w:uiPriority w:val="99"/>
    <w:rPr>
      <w:rFonts w:ascii="宋体" w:hAnsi="宋体"/>
      <w:sz w:val="21"/>
      <w:szCs w:val="18"/>
    </w:rPr>
  </w:style>
  <w:style w:type="character" w:customStyle="1" w:styleId="59">
    <w:name w:val="批注主题 字符"/>
    <w:link w:val="33"/>
    <w:semiHidden/>
    <w:qFormat/>
    <w:uiPriority w:val="99"/>
    <w:rPr>
      <w:rFonts w:ascii="Times New Roman" w:hAnsi="Times New Roman"/>
      <w:b/>
      <w:bCs/>
      <w:kern w:val="2"/>
      <w:sz w:val="24"/>
      <w:szCs w:val="22"/>
    </w:rPr>
  </w:style>
  <w:style w:type="character" w:customStyle="1" w:styleId="60">
    <w:name w:val="表格居中 Char"/>
    <w:qFormat/>
    <w:uiPriority w:val="0"/>
    <w:rPr>
      <w:rFonts w:ascii="宋体" w:hAnsi="宋体"/>
      <w:sz w:val="21"/>
    </w:rPr>
  </w:style>
  <w:style w:type="paragraph" w:customStyle="1" w:styleId="61">
    <w:name w:val="表格居中"/>
    <w:basedOn w:val="1"/>
    <w:link w:val="62"/>
    <w:qFormat/>
    <w:uiPriority w:val="0"/>
    <w:pPr>
      <w:ind w:firstLine="0" w:firstLineChars="0"/>
      <w:jc w:val="center"/>
    </w:pPr>
    <w:rPr>
      <w:rFonts w:ascii="宋体" w:hAnsi="宋体"/>
      <w:kern w:val="0"/>
      <w:sz w:val="21"/>
      <w:szCs w:val="20"/>
    </w:rPr>
  </w:style>
  <w:style w:type="character" w:customStyle="1" w:styleId="62">
    <w:name w:val="表格居中 Char Char"/>
    <w:link w:val="61"/>
    <w:qFormat/>
    <w:uiPriority w:val="0"/>
    <w:rPr>
      <w:kern w:val="2"/>
      <w:sz w:val="30"/>
      <w:szCs w:val="24"/>
    </w:rPr>
  </w:style>
  <w:style w:type="paragraph" w:customStyle="1" w:styleId="63">
    <w:name w:val="题 注  插图"/>
    <w:basedOn w:val="1"/>
    <w:next w:val="1"/>
    <w:qFormat/>
    <w:uiPriority w:val="0"/>
    <w:pPr>
      <w:numPr>
        <w:ilvl w:val="8"/>
        <w:numId w:val="1"/>
      </w:numPr>
      <w:ind w:firstLine="0" w:firstLineChars="0"/>
      <w:jc w:val="center"/>
    </w:pPr>
    <w:rPr>
      <w:rFonts w:ascii="宋体" w:hAnsi="宋体"/>
      <w:b/>
    </w:rPr>
  </w:style>
  <w:style w:type="paragraph" w:customStyle="1" w:styleId="64">
    <w:name w:val="插图居中"/>
    <w:basedOn w:val="1"/>
    <w:next w:val="1"/>
    <w:qFormat/>
    <w:uiPriority w:val="0"/>
    <w:pPr>
      <w:spacing w:before="50" w:beforeLines="50" w:after="50" w:afterLines="50"/>
      <w:ind w:firstLine="0" w:firstLineChars="0"/>
      <w:jc w:val="center"/>
    </w:pPr>
  </w:style>
  <w:style w:type="paragraph" w:customStyle="1" w:styleId="65">
    <w:name w:val="题 注  插表"/>
    <w:basedOn w:val="1"/>
    <w:next w:val="1"/>
    <w:qFormat/>
    <w:uiPriority w:val="0"/>
    <w:pPr>
      <w:numPr>
        <w:ilvl w:val="7"/>
        <w:numId w:val="1"/>
      </w:numPr>
      <w:ind w:firstLineChars="0"/>
      <w:jc w:val="center"/>
    </w:pPr>
    <w:rPr>
      <w:b/>
    </w:rPr>
  </w:style>
  <w:style w:type="table" w:customStyle="1" w:styleId="66">
    <w:name w:val="_Style 65"/>
    <w:basedOn w:val="34"/>
    <w:qFormat/>
    <w:uiPriority w:val="42"/>
    <w:tblPr>
      <w:tblBorders>
        <w:top w:val="single" w:color="7F7F7F" w:sz="4" w:space="0"/>
        <w:bottom w:val="single" w:color="7F7F7F" w:sz="4" w:space="0"/>
      </w:tblBorders>
    </w:tblPr>
    <w:tblStylePr w:type="firstRow">
      <w:rPr>
        <w:b/>
        <w:bCs/>
      </w:rPr>
      <w:tblPr/>
      <w:tcPr>
        <w:tcBorders>
          <w:top w:val="nil"/>
          <w:left w:val="single" w:color="7F7F7F" w:sz="4" w:space="0"/>
          <w:bottom w:val="nil"/>
          <w:right w:val="nil"/>
          <w:insideH w:val="nil"/>
          <w:insideV w:val="nil"/>
          <w:tl2br w:val="nil"/>
          <w:tr2bl w:val="nil"/>
        </w:tcBorders>
      </w:tcPr>
    </w:tblStylePr>
    <w:tblStylePr w:type="lastRow">
      <w:rPr>
        <w:b/>
        <w:bCs/>
      </w:rPr>
      <w:tbl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single" w:color="7F7F7F" w:sz="4" w:space="0"/>
          <w:right w:val="single" w:color="7F7F7F" w:sz="4" w:space="0"/>
          <w:insideH w:val="nil"/>
          <w:insideV w:val="nil"/>
          <w:tl2br w:val="nil"/>
          <w:tr2bl w:val="nil"/>
        </w:tcBorders>
      </w:tcPr>
    </w:tblStylePr>
    <w:tblStylePr w:type="band2Vert">
      <w:tblPr/>
      <w:tcPr>
        <w:tcBorders>
          <w:top w:val="nil"/>
          <w:left w:val="nil"/>
          <w:bottom w:val="single" w:color="7F7F7F" w:sz="4" w:space="0"/>
          <w:right w:val="single" w:color="7F7F7F" w:sz="4" w:space="0"/>
          <w:insideH w:val="nil"/>
          <w:insideV w:val="nil"/>
          <w:tl2br w:val="nil"/>
          <w:tr2bl w:val="nil"/>
        </w:tcBorders>
      </w:tcPr>
    </w:tblStylePr>
    <w:tblStylePr w:type="band1Horz">
      <w:tblPr/>
      <w:tcPr>
        <w:tcBorders>
          <w:top w:val="single" w:color="7F7F7F" w:sz="4" w:space="0"/>
          <w:left w:val="single" w:color="7F7F7F" w:sz="4" w:space="0"/>
          <w:bottom w:val="nil"/>
          <w:right w:val="nil"/>
          <w:insideH w:val="nil"/>
          <w:insideV w:val="nil"/>
          <w:tl2br w:val="nil"/>
          <w:tr2bl w:val="nil"/>
        </w:tcBorders>
      </w:tcPr>
    </w:tblStylePr>
  </w:style>
  <w:style w:type="table" w:customStyle="1" w:styleId="67">
    <w:name w:val="_Style 66"/>
    <w:basedOn w:val="34"/>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top w:val="nil"/>
          <w:left w:val="single" w:color="666666" w:sz="12" w:space="0"/>
          <w:bottom w:val="nil"/>
          <w:right w:val="nil"/>
          <w:insideH w:val="nil"/>
          <w:insideV w:val="nil"/>
          <w:tl2br w:val="nil"/>
          <w:tr2bl w:val="nil"/>
        </w:tcBorders>
      </w:tcPr>
    </w:tblStylePr>
    <w:tblStylePr w:type="lastRow">
      <w:rPr>
        <w:b/>
        <w:bCs/>
      </w:rPr>
      <w:tbl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68">
    <w:name w:val="_Style 67"/>
    <w:unhideWhenUsed/>
    <w:qFormat/>
    <w:uiPriority w:val="99"/>
    <w:rPr>
      <w:color w:val="605E5C"/>
      <w:shd w:val="clear" w:color="auto" w:fill="E1DFDD"/>
    </w:rPr>
  </w:style>
  <w:style w:type="paragraph" w:customStyle="1" w:styleId="69">
    <w:name w:val="表格/图片"/>
    <w:basedOn w:val="1"/>
    <w:qFormat/>
    <w:uiPriority w:val="0"/>
    <w:pPr>
      <w:autoSpaceDE w:val="0"/>
      <w:autoSpaceDN w:val="0"/>
      <w:adjustRightInd w:val="0"/>
      <w:spacing w:line="240" w:lineRule="auto"/>
      <w:ind w:firstLine="0" w:firstLineChars="0"/>
      <w:jc w:val="center"/>
    </w:pPr>
    <w:rPr>
      <w:kern w:val="0"/>
      <w:sz w:val="21"/>
      <w:szCs w:val="24"/>
    </w:rPr>
  </w:style>
  <w:style w:type="paragraph" w:customStyle="1" w:styleId="70">
    <w:name w:val="样式 中行正文 + 首行缩进:  2 字符"/>
    <w:basedOn w:val="71"/>
    <w:qFormat/>
    <w:uiPriority w:val="0"/>
    <w:pPr>
      <w:jc w:val="both"/>
    </w:pPr>
    <w:rPr>
      <w:rFonts w:ascii="宋体" w:hAnsi="宋体" w:cs="宋体"/>
      <w:sz w:val="28"/>
      <w:szCs w:val="28"/>
    </w:rPr>
  </w:style>
  <w:style w:type="paragraph" w:customStyle="1" w:styleId="71">
    <w:name w:val="中行正文"/>
    <w:basedOn w:val="1"/>
    <w:qFormat/>
    <w:uiPriority w:val="0"/>
    <w:pPr>
      <w:spacing w:line="552" w:lineRule="auto"/>
    </w:pPr>
    <w:rPr>
      <w:rFonts w:ascii="宋体" w:hAnsi="宋体"/>
      <w:sz w:val="28"/>
    </w:rPr>
  </w:style>
  <w:style w:type="paragraph" w:styleId="72">
    <w:name w:val="List Paragraph"/>
    <w:basedOn w:val="1"/>
    <w:qFormat/>
    <w:uiPriority w:val="0"/>
    <w:pPr>
      <w:widowControl/>
      <w:spacing w:line="240" w:lineRule="auto"/>
      <w:ind w:firstLine="0" w:firstLineChars="0"/>
    </w:pPr>
    <w:rPr>
      <w:rFonts w:ascii="Arial" w:hAnsi="Arial" w:eastAsia="等线"/>
      <w:kern w:val="0"/>
      <w:sz w:val="20"/>
      <w:szCs w:val="20"/>
    </w:rPr>
  </w:style>
  <w:style w:type="paragraph" w:customStyle="1" w:styleId="73">
    <w:name w:val="正文（标书标准）1"/>
    <w:basedOn w:val="1"/>
    <w:qFormat/>
    <w:uiPriority w:val="0"/>
    <w:pPr>
      <w:spacing w:line="549" w:lineRule="auto"/>
      <w:ind w:firstLine="568"/>
      <w:jc w:val="both"/>
    </w:pPr>
    <w:rPr>
      <w:rFonts w:ascii="宋体" w:hAnsi="宋体" w:cs="宋体"/>
      <w:sz w:val="28"/>
      <w:szCs w:val="28"/>
    </w:rPr>
  </w:style>
  <w:style w:type="paragraph" w:customStyle="1" w:styleId="74">
    <w:name w:val="表格首行缩进"/>
    <w:basedOn w:val="1"/>
    <w:qFormat/>
    <w:uiPriority w:val="0"/>
    <w:pPr>
      <w:adjustRightInd w:val="0"/>
      <w:snapToGrid w:val="0"/>
      <w:spacing w:line="600" w:lineRule="auto"/>
      <w:ind w:firstLine="0" w:firstLineChars="0"/>
      <w:jc w:val="center"/>
      <w:textAlignment w:val="center"/>
    </w:pPr>
    <w:rPr>
      <w:rFonts w:ascii="宋体" w:hAnsi="宋体" w:cs="宋体"/>
      <w:kern w:val="0"/>
      <w:sz w:val="28"/>
      <w:szCs w:val="28"/>
    </w:rPr>
  </w:style>
  <w:style w:type="paragraph" w:customStyle="1" w:styleId="75">
    <w:name w:val="表格左缩进"/>
    <w:basedOn w:val="1"/>
    <w:qFormat/>
    <w:uiPriority w:val="0"/>
    <w:pPr>
      <w:widowControl/>
      <w:spacing w:line="240" w:lineRule="auto"/>
    </w:pPr>
    <w:rPr>
      <w:kern w:val="0"/>
      <w:sz w:val="21"/>
      <w:szCs w:val="21"/>
    </w:rPr>
  </w:style>
  <w:style w:type="character" w:customStyle="1" w:styleId="76">
    <w:name w:val="15"/>
    <w:qFormat/>
    <w:uiPriority w:val="0"/>
    <w:rPr>
      <w:rFonts w:hint="default" w:ascii="Times New Roman" w:hAnsi="Times New Roman" w:cs="Times New Roman"/>
      <w:kern w:val="2"/>
      <w:sz w:val="30"/>
      <w:szCs w:val="30"/>
    </w:rPr>
  </w:style>
  <w:style w:type="paragraph" w:customStyle="1" w:styleId="77">
    <w:name w:val=".图表名称"/>
    <w:basedOn w:val="1"/>
    <w:qFormat/>
    <w:uiPriority w:val="0"/>
    <w:pPr>
      <w:adjustRightInd w:val="0"/>
      <w:snapToGrid w:val="0"/>
      <w:spacing w:line="240" w:lineRule="auto"/>
      <w:ind w:firstLine="0" w:firstLineChars="0"/>
      <w:contextualSpacing/>
      <w:jc w:val="center"/>
    </w:pPr>
    <w:rPr>
      <w:rFonts w:ascii="宋体" w:hAnsi="宋体"/>
      <w:b/>
      <w:kern w:val="0"/>
    </w:rPr>
  </w:style>
  <w:style w:type="paragraph" w:customStyle="1" w:styleId="78">
    <w:name w:val=".表格居中"/>
    <w:basedOn w:val="1"/>
    <w:qFormat/>
    <w:uiPriority w:val="0"/>
    <w:pPr>
      <w:spacing w:line="312" w:lineRule="auto"/>
      <w:ind w:firstLine="0" w:firstLineChars="0"/>
      <w:contextualSpacing/>
      <w:jc w:val="center"/>
    </w:pPr>
    <w:rPr>
      <w:rFonts w:ascii="宋体" w:hAnsi="Arial"/>
      <w:kern w:val="0"/>
      <w:sz w:val="21"/>
    </w:rPr>
  </w:style>
  <w:style w:type="paragraph" w:customStyle="1" w:styleId="79">
    <w:name w:val=".表格靠左"/>
    <w:basedOn w:val="78"/>
    <w:qFormat/>
    <w:uiPriority w:val="0"/>
    <w:pPr>
      <w:jc w:val="left"/>
    </w:pPr>
    <w:rPr>
      <w:rFonts w:hAnsi="宋体"/>
      <w:color w:val="000000"/>
      <w:kern w:val="2"/>
      <w:szCs w:val="21"/>
    </w:rPr>
  </w:style>
  <w:style w:type="paragraph" w:customStyle="1" w:styleId="80">
    <w:name w:val=".2级标题"/>
    <w:basedOn w:val="4"/>
    <w:next w:val="81"/>
    <w:qFormat/>
    <w:uiPriority w:val="0"/>
    <w:pPr>
      <w:tabs>
        <w:tab w:val="left" w:pos="1400"/>
        <w:tab w:val="left" w:pos="4536"/>
      </w:tabs>
      <w:snapToGrid w:val="0"/>
      <w:spacing w:line="312" w:lineRule="auto"/>
      <w:ind w:firstLine="0" w:firstLineChars="0"/>
      <w:contextualSpacing/>
      <w:jc w:val="left"/>
    </w:pPr>
    <w:rPr>
      <w:rFonts w:ascii="宋体" w:hAnsi="宋体"/>
      <w:szCs w:val="21"/>
    </w:rPr>
  </w:style>
  <w:style w:type="paragraph" w:customStyle="1" w:styleId="81">
    <w:name w:val=".3级标题"/>
    <w:basedOn w:val="82"/>
    <w:next w:val="1"/>
    <w:qFormat/>
    <w:uiPriority w:val="0"/>
    <w:pPr>
      <w:ind w:firstLine="200" w:firstLineChars="200"/>
      <w:outlineLvl w:val="2"/>
    </w:pPr>
    <w:rPr>
      <w:b/>
      <w:lang w:eastAsia="zh-TW"/>
    </w:rPr>
  </w:style>
  <w:style w:type="paragraph" w:customStyle="1" w:styleId="82">
    <w:name w:val=".标书正文"/>
    <w:basedOn w:val="1"/>
    <w:qFormat/>
    <w:uiPriority w:val="0"/>
    <w:pPr>
      <w:snapToGrid w:val="0"/>
      <w:contextualSpacing/>
      <w:jc w:val="left"/>
    </w:pPr>
    <w:rPr>
      <w:rFonts w:ascii="宋体" w:hAnsi="宋体"/>
      <w:kern w:val="0"/>
      <w:szCs w:val="21"/>
      <w:lang w:val="zh-TW"/>
    </w:rPr>
  </w:style>
  <w:style w:type="paragraph" w:customStyle="1" w:styleId="83">
    <w:name w:val="题 注  表"/>
    <w:basedOn w:val="1"/>
    <w:next w:val="1"/>
    <w:qFormat/>
    <w:uiPriority w:val="0"/>
    <w:pPr>
      <w:widowControl/>
      <w:numPr>
        <w:ilvl w:val="7"/>
        <w:numId w:val="2"/>
      </w:numPr>
      <w:ind w:firstLineChars="0"/>
      <w:jc w:val="center"/>
    </w:pPr>
    <w:rPr>
      <w:b/>
      <w:szCs w:val="22"/>
    </w:rPr>
  </w:style>
  <w:style w:type="paragraph" w:customStyle="1" w:styleId="84">
    <w:name w:val="样式正文 + 首行缩进:  2 字符"/>
    <w:basedOn w:val="85"/>
    <w:qFormat/>
    <w:uiPriority w:val="0"/>
    <w:pPr>
      <w:ind w:firstLine="480"/>
    </w:pPr>
    <w:rPr>
      <w:szCs w:val="20"/>
    </w:rPr>
  </w:style>
  <w:style w:type="paragraph" w:customStyle="1" w:styleId="85">
    <w:name w:val="wxl正文"/>
    <w:basedOn w:val="86"/>
    <w:qFormat/>
    <w:uiPriority w:val="0"/>
    <w:pPr>
      <w:spacing w:line="360" w:lineRule="auto"/>
      <w:ind w:firstLine="200"/>
    </w:pPr>
    <w:rPr>
      <w:rFonts w:hAnsi="宋体" w:cs="宋体"/>
    </w:rPr>
  </w:style>
  <w:style w:type="paragraph" w:customStyle="1" w:styleId="86">
    <w:name w:val="这是正文"/>
    <w:basedOn w:val="1"/>
    <w:qFormat/>
    <w:uiPriority w:val="0"/>
    <w:pPr>
      <w:widowControl w:val="0"/>
      <w:spacing w:line="440" w:lineRule="exact"/>
      <w:ind w:firstLine="480" w:firstLineChars="200"/>
      <w:jc w:val="both"/>
    </w:pPr>
    <w:rPr>
      <w:rFonts w:hAnsi="Arial"/>
      <w:kern w:val="2"/>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1" Type="http://schemas.microsoft.com/office/2011/relationships/people" Target="people.xml"/><Relationship Id="rId80" Type="http://schemas.openxmlformats.org/officeDocument/2006/relationships/fontTable" Target="fontTable.xml"/><Relationship Id="rId8" Type="http://schemas.openxmlformats.org/officeDocument/2006/relationships/footer" Target="footer1.xml"/><Relationship Id="rId79" Type="http://schemas.microsoft.com/office/2006/relationships/keyMapCustomizations" Target="customizations.xml"/><Relationship Id="rId78" Type="http://schemas.openxmlformats.org/officeDocument/2006/relationships/numbering" Target="numbering.xml"/><Relationship Id="rId77" Type="http://schemas.openxmlformats.org/officeDocument/2006/relationships/customXml" Target="../customXml/item1.xml"/><Relationship Id="rId76" Type="http://schemas.openxmlformats.org/officeDocument/2006/relationships/image" Target="media/image51.jpeg"/><Relationship Id="rId75" Type="http://schemas.openxmlformats.org/officeDocument/2006/relationships/image" Target="media/image50.jpeg"/><Relationship Id="rId74" Type="http://schemas.openxmlformats.org/officeDocument/2006/relationships/image" Target="media/image49.png"/><Relationship Id="rId73" Type="http://schemas.openxmlformats.org/officeDocument/2006/relationships/image" Target="media/image48.jpeg"/><Relationship Id="rId72" Type="http://schemas.openxmlformats.org/officeDocument/2006/relationships/image" Target="media/image47.png"/><Relationship Id="rId71" Type="http://schemas.openxmlformats.org/officeDocument/2006/relationships/image" Target="media/image46.png"/><Relationship Id="rId70" Type="http://schemas.openxmlformats.org/officeDocument/2006/relationships/image" Target="media/image45.png"/><Relationship Id="rId7" Type="http://schemas.openxmlformats.org/officeDocument/2006/relationships/header" Target="header3.xml"/><Relationship Id="rId69" Type="http://schemas.openxmlformats.org/officeDocument/2006/relationships/image" Target="media/image44.png"/><Relationship Id="rId68" Type="http://schemas.openxmlformats.org/officeDocument/2006/relationships/image" Target="media/image43.jpeg"/><Relationship Id="rId67" Type="http://schemas.openxmlformats.org/officeDocument/2006/relationships/image" Target="media/image42.jpeg"/><Relationship Id="rId66" Type="http://schemas.openxmlformats.org/officeDocument/2006/relationships/image" Target="media/image41.jpeg"/><Relationship Id="rId65" Type="http://schemas.openxmlformats.org/officeDocument/2006/relationships/image" Target="media/image40.jpeg"/><Relationship Id="rId64" Type="http://schemas.openxmlformats.org/officeDocument/2006/relationships/image" Target="media/image39.png"/><Relationship Id="rId63" Type="http://schemas.openxmlformats.org/officeDocument/2006/relationships/image" Target="media/image38.jpeg"/><Relationship Id="rId62" Type="http://schemas.openxmlformats.org/officeDocument/2006/relationships/image" Target="media/image37.jpeg"/><Relationship Id="rId61" Type="http://schemas.openxmlformats.org/officeDocument/2006/relationships/image" Target="media/image36.png"/><Relationship Id="rId60" Type="http://schemas.openxmlformats.org/officeDocument/2006/relationships/image" Target="media/image35.jpeg"/><Relationship Id="rId6" Type="http://schemas.openxmlformats.org/officeDocument/2006/relationships/header" Target="header2.xml"/><Relationship Id="rId59" Type="http://schemas.openxmlformats.org/officeDocument/2006/relationships/image" Target="media/image34.jpeg"/><Relationship Id="rId58" Type="http://schemas.openxmlformats.org/officeDocument/2006/relationships/image" Target="media/image33.jpeg"/><Relationship Id="rId57" Type="http://schemas.openxmlformats.org/officeDocument/2006/relationships/image" Target="media/image32.jpeg"/><Relationship Id="rId56" Type="http://schemas.openxmlformats.org/officeDocument/2006/relationships/image" Target="media/image31.jpeg"/><Relationship Id="rId55" Type="http://schemas.openxmlformats.org/officeDocument/2006/relationships/image" Target="media/image30.jpeg"/><Relationship Id="rId54" Type="http://schemas.openxmlformats.org/officeDocument/2006/relationships/image" Target="media/image29.jpeg"/><Relationship Id="rId53" Type="http://schemas.openxmlformats.org/officeDocument/2006/relationships/image" Target="media/image28.png"/><Relationship Id="rId52" Type="http://schemas.openxmlformats.org/officeDocument/2006/relationships/image" Target="media/image27.jpeg"/><Relationship Id="rId51" Type="http://schemas.openxmlformats.org/officeDocument/2006/relationships/image" Target="media/image26.jpeg"/><Relationship Id="rId50" Type="http://schemas.openxmlformats.org/officeDocument/2006/relationships/image" Target="media/image25.png"/><Relationship Id="rId5" Type="http://schemas.openxmlformats.org/officeDocument/2006/relationships/header" Target="header1.xml"/><Relationship Id="rId49" Type="http://schemas.openxmlformats.org/officeDocument/2006/relationships/image" Target="media/image24.emf"/><Relationship Id="rId48" Type="http://schemas.openxmlformats.org/officeDocument/2006/relationships/image" Target="media/image23.jpeg"/><Relationship Id="rId47" Type="http://schemas.openxmlformats.org/officeDocument/2006/relationships/image" Target="media/image22.jpeg"/><Relationship Id="rId46" Type="http://schemas.openxmlformats.org/officeDocument/2006/relationships/image" Target="media/image21.png"/><Relationship Id="rId45" Type="http://schemas.openxmlformats.org/officeDocument/2006/relationships/image" Target="media/image20.png"/><Relationship Id="rId44" Type="http://schemas.openxmlformats.org/officeDocument/2006/relationships/image" Target="media/image19.png"/><Relationship Id="rId43" Type="http://schemas.openxmlformats.org/officeDocument/2006/relationships/image" Target="media/image18.png"/><Relationship Id="rId42" Type="http://schemas.openxmlformats.org/officeDocument/2006/relationships/image" Target="media/image17.png"/><Relationship Id="rId41" Type="http://schemas.openxmlformats.org/officeDocument/2006/relationships/image" Target="media/image16.jpeg"/><Relationship Id="rId40" Type="http://schemas.openxmlformats.org/officeDocument/2006/relationships/image" Target="media/image15.png"/><Relationship Id="rId4" Type="http://schemas.openxmlformats.org/officeDocument/2006/relationships/endnotes" Target="endnotes.xml"/><Relationship Id="rId39" Type="http://schemas.openxmlformats.org/officeDocument/2006/relationships/image" Target="media/image14.png"/><Relationship Id="rId38" Type="http://schemas.openxmlformats.org/officeDocument/2006/relationships/image" Target="media/image13.png"/><Relationship Id="rId37" Type="http://schemas.openxmlformats.org/officeDocument/2006/relationships/image" Target="media/image12.jpeg"/><Relationship Id="rId36" Type="http://schemas.openxmlformats.org/officeDocument/2006/relationships/image" Target="media/image11.jpeg"/><Relationship Id="rId35" Type="http://schemas.openxmlformats.org/officeDocument/2006/relationships/image" Target="media/image10.png"/><Relationship Id="rId34" Type="http://schemas.openxmlformats.org/officeDocument/2006/relationships/image" Target="media/image9.png"/><Relationship Id="rId33" Type="http://schemas.openxmlformats.org/officeDocument/2006/relationships/image" Target="media/image8.png"/><Relationship Id="rId32" Type="http://schemas.openxmlformats.org/officeDocument/2006/relationships/image" Target="media/image7.jpeg"/><Relationship Id="rId31" Type="http://schemas.openxmlformats.org/officeDocument/2006/relationships/image" Target="media/image6.jpeg"/><Relationship Id="rId30" Type="http://schemas.openxmlformats.org/officeDocument/2006/relationships/image" Target="media/image5.emf"/><Relationship Id="rId3" Type="http://schemas.openxmlformats.org/officeDocument/2006/relationships/footnotes" Target="footnotes.xml"/><Relationship Id="rId29" Type="http://schemas.openxmlformats.org/officeDocument/2006/relationships/image" Target="media/image4.emf"/><Relationship Id="rId28" Type="http://schemas.openxmlformats.org/officeDocument/2006/relationships/image" Target="media/image3.jpeg"/><Relationship Id="rId27" Type="http://schemas.openxmlformats.org/officeDocument/2006/relationships/image" Target="media/image2.png"/><Relationship Id="rId26" Type="http://schemas.openxmlformats.org/officeDocument/2006/relationships/image" Target="media/image1.jpeg"/><Relationship Id="rId25" Type="http://schemas.openxmlformats.org/officeDocument/2006/relationships/theme" Target="theme/theme1.xml"/><Relationship Id="rId24" Type="http://schemas.openxmlformats.org/officeDocument/2006/relationships/header" Target="header13.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103</Pages>
  <Words>2093</Words>
  <Characters>2679</Characters>
  <DocSecurity>0</DocSecurity>
  <Lines>1690</Lines>
  <Paragraphs>2200</Paragraphs>
  <ScaleCrop>false</ScaleCrop>
  <LinksUpToDate>false</LinksUpToDate>
  <CharactersWithSpaces>2841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dcterms:created xsi:type="dcterms:W3CDTF">2021-09-20T09:04:00Z</dcterms:created>
  <dcterms:modified xsi:type="dcterms:W3CDTF">2021-12-13T14:25:29Z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KSOTemplateDocerSaveRecord">
    <vt:lpwstr>eyJoZGlkIjoiNTk4ZDUyNmM2ZTg1NGE5YjAzZWFkMmU3ZGQ4MjIzYjYiLCJ1c2VySWQiOiI1ODg2OTIxNzAifQ==</vt:lpwstr>
  </property>
  <property fmtid="{D5CDD505-2E9C-101B-9397-08002B2CF9AE}" pid="4" name="ICV">
    <vt:lpwstr>9FD60B030D0C4F20A1D0CE5D7D81704D_13</vt:lpwstr>
  </property>
</Properties>
</file>